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42FF" w14:textId="4DC1A8E8" w:rsidR="00B63CF4" w:rsidRPr="00716973" w:rsidRDefault="00B952C8" w:rsidP="00C63544">
      <w:pPr>
        <w:ind w:right="5"/>
        <w:jc w:val="both"/>
        <w:rPr>
          <w:rFonts w:cstheme="minorHAnsi"/>
          <w:b/>
          <w:bCs/>
          <w:color w:val="002677"/>
          <w:sz w:val="28"/>
          <w:szCs w:val="28"/>
          <w:lang w:val="en-US"/>
        </w:rPr>
      </w:pPr>
      <w:r w:rsidRPr="00716973">
        <w:rPr>
          <w:rFonts w:cstheme="minorHAnsi"/>
          <w:b/>
          <w:bCs/>
          <w:color w:val="002677"/>
          <w:sz w:val="28"/>
          <w:szCs w:val="28"/>
          <w:lang w:val="en-US"/>
        </w:rPr>
        <w:t>PRESS RELEASE</w:t>
      </w:r>
    </w:p>
    <w:p w14:paraId="0693216E" w14:textId="77777777" w:rsidR="00080D00" w:rsidRPr="00716973" w:rsidRDefault="00080D00" w:rsidP="00C63544">
      <w:pPr>
        <w:ind w:right="5"/>
        <w:jc w:val="both"/>
        <w:rPr>
          <w:rFonts w:cstheme="minorHAnsi"/>
          <w:b/>
          <w:bCs/>
          <w:color w:val="002677"/>
          <w:sz w:val="28"/>
          <w:szCs w:val="28"/>
          <w:lang w:val="en-US"/>
        </w:rPr>
      </w:pPr>
    </w:p>
    <w:p w14:paraId="7877B57B" w14:textId="62D8E3E4" w:rsidR="00080D00" w:rsidRPr="006B4765" w:rsidRDefault="008F7BCD" w:rsidP="00C63544">
      <w:pPr>
        <w:ind w:right="5"/>
        <w:jc w:val="both"/>
        <w:rPr>
          <w:rFonts w:cstheme="minorHAnsi"/>
          <w:b/>
          <w:color w:val="002677"/>
          <w:sz w:val="28"/>
          <w:szCs w:val="28"/>
          <w:lang w:val="en-US"/>
        </w:rPr>
      </w:pPr>
      <w:r w:rsidRPr="008F7BCD">
        <w:rPr>
          <w:rFonts w:cstheme="minorHAnsi"/>
          <w:b/>
          <w:color w:val="002677"/>
          <w:sz w:val="28"/>
          <w:szCs w:val="28"/>
          <w:lang w:val="en-US"/>
        </w:rPr>
        <w:t>First Quarter 202</w:t>
      </w:r>
      <w:r>
        <w:rPr>
          <w:rFonts w:cstheme="minorHAnsi"/>
          <w:b/>
          <w:color w:val="002677"/>
          <w:sz w:val="28"/>
          <w:szCs w:val="28"/>
          <w:lang w:val="en-US"/>
        </w:rPr>
        <w:t>4</w:t>
      </w:r>
      <w:r w:rsidRPr="008F7BCD">
        <w:rPr>
          <w:rFonts w:cstheme="minorHAnsi"/>
          <w:b/>
          <w:color w:val="002677"/>
          <w:sz w:val="28"/>
          <w:szCs w:val="28"/>
          <w:lang w:val="en-US"/>
        </w:rPr>
        <w:t xml:space="preserve"> Trading Update</w:t>
      </w:r>
    </w:p>
    <w:p w14:paraId="220D5603" w14:textId="77777777" w:rsidR="008F7BCD" w:rsidRPr="006B4765" w:rsidRDefault="008F7BCD" w:rsidP="00C63544">
      <w:pPr>
        <w:ind w:right="5"/>
        <w:jc w:val="both"/>
        <w:rPr>
          <w:rFonts w:cstheme="minorHAnsi"/>
          <w:color w:val="002677"/>
          <w:sz w:val="28"/>
          <w:szCs w:val="28"/>
          <w:lang w:val="en-US"/>
        </w:rPr>
      </w:pPr>
    </w:p>
    <w:p w14:paraId="3B0779D2" w14:textId="3637AA76" w:rsidR="008B7492" w:rsidRDefault="003C0A2A" w:rsidP="005E4F53">
      <w:pPr>
        <w:ind w:right="5"/>
        <w:jc w:val="both"/>
        <w:rPr>
          <w:rFonts w:cstheme="minorHAnsi"/>
          <w:b/>
          <w:color w:val="002677"/>
          <w:sz w:val="28"/>
          <w:szCs w:val="28"/>
          <w:lang w:val="en-US"/>
        </w:rPr>
      </w:pPr>
      <w:r>
        <w:rPr>
          <w:rFonts w:cstheme="minorHAnsi"/>
          <w:b/>
          <w:color w:val="002677"/>
          <w:sz w:val="28"/>
          <w:szCs w:val="28"/>
          <w:lang w:val="en-US"/>
        </w:rPr>
        <w:t>17% growth in Revenue and improved EBIT in the seasonally weak</w:t>
      </w:r>
      <w:r w:rsidR="00AA05E9">
        <w:rPr>
          <w:rFonts w:cstheme="minorHAnsi"/>
          <w:b/>
          <w:color w:val="002677"/>
          <w:sz w:val="28"/>
          <w:szCs w:val="28"/>
          <w:lang w:val="en-US"/>
        </w:rPr>
        <w:t>e</w:t>
      </w:r>
      <w:r w:rsidR="00AB1FFB">
        <w:rPr>
          <w:rFonts w:cstheme="minorHAnsi"/>
          <w:b/>
          <w:color w:val="002677"/>
          <w:sz w:val="28"/>
          <w:szCs w:val="28"/>
          <w:lang w:val="en-US"/>
        </w:rPr>
        <w:t>st</w:t>
      </w:r>
      <w:r>
        <w:rPr>
          <w:rFonts w:cstheme="minorHAnsi"/>
          <w:b/>
          <w:color w:val="002677"/>
          <w:sz w:val="28"/>
          <w:szCs w:val="28"/>
          <w:lang w:val="en-US"/>
        </w:rPr>
        <w:t xml:space="preserve"> 1</w:t>
      </w:r>
      <w:r w:rsidRPr="003C0A2A">
        <w:rPr>
          <w:rFonts w:cstheme="minorHAnsi"/>
          <w:b/>
          <w:color w:val="002677"/>
          <w:sz w:val="28"/>
          <w:szCs w:val="28"/>
          <w:vertAlign w:val="superscript"/>
          <w:lang w:val="en-US"/>
        </w:rPr>
        <w:t>st</w:t>
      </w:r>
      <w:r>
        <w:rPr>
          <w:rFonts w:cstheme="minorHAnsi"/>
          <w:b/>
          <w:color w:val="002677"/>
          <w:sz w:val="28"/>
          <w:szCs w:val="28"/>
          <w:lang w:val="en-US"/>
        </w:rPr>
        <w:t xml:space="preserve"> quarter</w:t>
      </w:r>
    </w:p>
    <w:p w14:paraId="2A65EB85" w14:textId="4C32487F" w:rsidR="005648AD" w:rsidRPr="00716973" w:rsidRDefault="008B7492" w:rsidP="005648AD">
      <w:pPr>
        <w:ind w:right="5"/>
        <w:jc w:val="both"/>
        <w:rPr>
          <w:rFonts w:cstheme="minorHAnsi"/>
          <w:b/>
          <w:bCs/>
          <w:color w:val="002677"/>
          <w:lang w:val="en-US"/>
        </w:rPr>
      </w:pPr>
      <w:r>
        <w:rPr>
          <w:rFonts w:cstheme="minorHAnsi"/>
          <w:b/>
          <w:color w:val="002677"/>
          <w:sz w:val="28"/>
          <w:szCs w:val="28"/>
          <w:lang w:val="en-US"/>
        </w:rPr>
        <w:t xml:space="preserve"> </w:t>
      </w:r>
    </w:p>
    <w:p w14:paraId="16F9266B" w14:textId="10933D39" w:rsidR="00511CA9" w:rsidRPr="0093442A" w:rsidRDefault="00511CA9" w:rsidP="00511CA9">
      <w:pPr>
        <w:ind w:right="5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93442A">
        <w:rPr>
          <w:rFonts w:cstheme="minorHAnsi"/>
          <w:color w:val="243587"/>
          <w:sz w:val="22"/>
          <w:szCs w:val="22"/>
          <w:lang w:val="en-US"/>
        </w:rPr>
        <w:t>•</w:t>
      </w:r>
      <w:r w:rsidRPr="00511CA9">
        <w:rPr>
          <w:rFonts w:cstheme="minorHAnsi"/>
          <w:color w:val="243587"/>
          <w:sz w:val="22"/>
          <w:szCs w:val="22"/>
          <w:lang w:val="en-US"/>
        </w:rPr>
        <w:t xml:space="preserve">€268,8 </w:t>
      </w:r>
      <w:r w:rsidRPr="0093442A">
        <w:rPr>
          <w:rFonts w:cstheme="minorHAnsi"/>
          <w:color w:val="243587"/>
          <w:sz w:val="22"/>
          <w:szCs w:val="22"/>
          <w:lang w:val="en-US"/>
        </w:rPr>
        <w:t>m</w:t>
      </w:r>
      <w:r>
        <w:rPr>
          <w:rFonts w:cstheme="minorHAnsi"/>
          <w:color w:val="243587"/>
          <w:sz w:val="22"/>
          <w:szCs w:val="22"/>
          <w:lang w:val="en-US"/>
        </w:rPr>
        <w:t>il. Revenue,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an increase of 17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% </w:t>
      </w:r>
      <w:r w:rsidR="00913D87">
        <w:rPr>
          <w:rFonts w:cstheme="minorHAnsi"/>
          <w:color w:val="243587"/>
          <w:sz w:val="22"/>
          <w:szCs w:val="22"/>
          <w:lang w:val="en-US"/>
        </w:rPr>
        <w:t>vs.</w:t>
      </w:r>
      <w:r>
        <w:rPr>
          <w:rFonts w:cstheme="minorHAnsi"/>
          <w:color w:val="243587"/>
          <w:sz w:val="22"/>
          <w:szCs w:val="22"/>
          <w:lang w:val="en-US"/>
        </w:rPr>
        <w:t xml:space="preserve"> Q1-</w:t>
      </w:r>
      <w:r w:rsidRPr="0093442A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3.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</w:t>
      </w:r>
    </w:p>
    <w:p w14:paraId="6F4396EF" w14:textId="55A66DF8" w:rsidR="00511CA9" w:rsidRPr="0093442A" w:rsidRDefault="00511CA9" w:rsidP="00511CA9">
      <w:pPr>
        <w:ind w:right="5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93442A">
        <w:rPr>
          <w:rFonts w:cstheme="minorHAnsi"/>
          <w:color w:val="243587"/>
          <w:sz w:val="22"/>
          <w:szCs w:val="22"/>
          <w:lang w:val="en-US"/>
        </w:rPr>
        <w:t>•2</w:t>
      </w:r>
      <w:r>
        <w:rPr>
          <w:rFonts w:cstheme="minorHAnsi"/>
          <w:color w:val="243587"/>
          <w:sz w:val="22"/>
          <w:szCs w:val="22"/>
          <w:lang w:val="en-US"/>
        </w:rPr>
        <w:t>,</w:t>
      </w:r>
      <w:r w:rsidR="000A4CC3">
        <w:rPr>
          <w:rFonts w:cstheme="minorHAnsi"/>
          <w:color w:val="243587"/>
          <w:sz w:val="22"/>
          <w:szCs w:val="22"/>
          <w:lang w:val="en-US"/>
        </w:rPr>
        <w:t>9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mil</w:t>
      </w:r>
      <w:r>
        <w:rPr>
          <w:rFonts w:cstheme="minorHAnsi"/>
          <w:color w:val="243587"/>
          <w:sz w:val="22"/>
          <w:szCs w:val="22"/>
          <w:lang w:val="en-US"/>
        </w:rPr>
        <w:t>.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passengers, </w:t>
      </w:r>
      <w:r>
        <w:rPr>
          <w:rFonts w:cstheme="minorHAnsi"/>
          <w:color w:val="243587"/>
          <w:sz w:val="22"/>
          <w:szCs w:val="22"/>
          <w:lang w:val="en-US"/>
        </w:rPr>
        <w:t>11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% </w:t>
      </w:r>
      <w:r>
        <w:rPr>
          <w:rFonts w:cstheme="minorHAnsi"/>
          <w:color w:val="243587"/>
          <w:sz w:val="22"/>
          <w:szCs w:val="22"/>
          <w:lang w:val="en-US"/>
        </w:rPr>
        <w:t>increase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 xml:space="preserve">compared </w:t>
      </w:r>
      <w:r w:rsidR="00AA05E9">
        <w:rPr>
          <w:rFonts w:cstheme="minorHAnsi"/>
          <w:color w:val="243587"/>
          <w:sz w:val="22"/>
          <w:szCs w:val="22"/>
          <w:lang w:val="en-US"/>
        </w:rPr>
        <w:t>to</w:t>
      </w:r>
      <w:r w:rsidRPr="0093442A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Q1-</w:t>
      </w:r>
      <w:r w:rsidRPr="0093442A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3.</w:t>
      </w:r>
    </w:p>
    <w:p w14:paraId="1B892377" w14:textId="743E534D" w:rsidR="00511CA9" w:rsidRDefault="00511CA9" w:rsidP="00511CA9">
      <w:pPr>
        <w:ind w:right="5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3645FB">
        <w:rPr>
          <w:rFonts w:cstheme="minorHAnsi"/>
          <w:color w:val="243587"/>
          <w:sz w:val="22"/>
          <w:szCs w:val="22"/>
          <w:lang w:val="en-US"/>
        </w:rPr>
        <w:t>•</w:t>
      </w:r>
      <w:r>
        <w:rPr>
          <w:rFonts w:cstheme="minorHAnsi"/>
          <w:color w:val="243587"/>
          <w:sz w:val="22"/>
          <w:szCs w:val="22"/>
          <w:lang w:val="en-US"/>
        </w:rPr>
        <w:t xml:space="preserve">Positive </w:t>
      </w:r>
      <w:r w:rsidRPr="003645FB">
        <w:rPr>
          <w:rFonts w:cstheme="minorHAnsi"/>
          <w:color w:val="243587"/>
          <w:sz w:val="22"/>
          <w:szCs w:val="22"/>
          <w:lang w:val="en-US"/>
        </w:rPr>
        <w:t>EBITDA</w:t>
      </w:r>
      <w:r>
        <w:rPr>
          <w:rFonts w:cstheme="minorHAnsi"/>
          <w:color w:val="243587"/>
          <w:sz w:val="22"/>
          <w:szCs w:val="22"/>
          <w:lang w:val="en-US"/>
        </w:rPr>
        <w:t xml:space="preserve"> of </w:t>
      </w:r>
      <w:r w:rsidRPr="00826754">
        <w:rPr>
          <w:rFonts w:cstheme="minorHAnsi"/>
          <w:color w:val="243587"/>
          <w:sz w:val="22"/>
          <w:szCs w:val="22"/>
          <w:lang w:val="en-US"/>
        </w:rPr>
        <w:t>€</w:t>
      </w:r>
      <w:r>
        <w:rPr>
          <w:rFonts w:cstheme="minorHAnsi"/>
          <w:color w:val="243587"/>
          <w:sz w:val="22"/>
          <w:szCs w:val="22"/>
          <w:lang w:val="en-US"/>
        </w:rPr>
        <w:t>33</w:t>
      </w:r>
      <w:r w:rsidRPr="00826754">
        <w:rPr>
          <w:rFonts w:cstheme="minorHAnsi"/>
          <w:color w:val="243587"/>
          <w:sz w:val="22"/>
          <w:szCs w:val="22"/>
          <w:lang w:val="en-US"/>
        </w:rPr>
        <w:t>,</w:t>
      </w:r>
      <w:r>
        <w:rPr>
          <w:rFonts w:cstheme="minorHAnsi"/>
          <w:color w:val="243587"/>
          <w:sz w:val="22"/>
          <w:szCs w:val="22"/>
          <w:lang w:val="en-US"/>
        </w:rPr>
        <w:t xml:space="preserve">2 mil., from </w:t>
      </w:r>
      <w:r w:rsidRPr="003645FB">
        <w:rPr>
          <w:rFonts w:cstheme="minorHAnsi"/>
          <w:color w:val="243587"/>
          <w:sz w:val="22"/>
          <w:szCs w:val="22"/>
          <w:lang w:val="en-US"/>
        </w:rPr>
        <w:t>€1</w:t>
      </w:r>
      <w:r>
        <w:rPr>
          <w:rFonts w:cstheme="minorHAnsi"/>
          <w:color w:val="243587"/>
          <w:sz w:val="22"/>
          <w:szCs w:val="22"/>
          <w:lang w:val="en-US"/>
        </w:rPr>
        <w:t>9,3</w:t>
      </w:r>
      <w:r w:rsidRPr="003645FB">
        <w:rPr>
          <w:rFonts w:cstheme="minorHAnsi"/>
          <w:color w:val="243587"/>
          <w:sz w:val="22"/>
          <w:szCs w:val="22"/>
          <w:lang w:val="en-US"/>
        </w:rPr>
        <w:t xml:space="preserve"> mil</w:t>
      </w:r>
      <w:r>
        <w:rPr>
          <w:rFonts w:cstheme="minorHAnsi"/>
          <w:color w:val="243587"/>
          <w:sz w:val="22"/>
          <w:szCs w:val="22"/>
          <w:lang w:val="en-US"/>
        </w:rPr>
        <w:t>. in Q1-</w:t>
      </w:r>
      <w:r w:rsidRPr="0093442A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3.</w:t>
      </w:r>
    </w:p>
    <w:p w14:paraId="40D95F37" w14:textId="2798FD63" w:rsidR="00511CA9" w:rsidRDefault="00511CA9" w:rsidP="00511CA9">
      <w:pPr>
        <w:ind w:right="5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3645FB">
        <w:rPr>
          <w:rFonts w:cstheme="minorHAnsi"/>
          <w:color w:val="243587"/>
          <w:sz w:val="22"/>
          <w:szCs w:val="22"/>
          <w:lang w:val="en-US"/>
        </w:rPr>
        <w:t>•EBIT</w:t>
      </w:r>
      <w:r>
        <w:rPr>
          <w:rFonts w:cstheme="minorHAnsi"/>
          <w:color w:val="243587"/>
          <w:sz w:val="22"/>
          <w:szCs w:val="22"/>
          <w:lang w:val="en-US"/>
        </w:rPr>
        <w:t xml:space="preserve"> loss of </w:t>
      </w:r>
      <w:r w:rsidRPr="00826754">
        <w:rPr>
          <w:rFonts w:cstheme="minorHAnsi"/>
          <w:color w:val="243587"/>
          <w:sz w:val="22"/>
          <w:szCs w:val="22"/>
          <w:lang w:val="en-US"/>
        </w:rPr>
        <w:t>€</w:t>
      </w:r>
      <w:r>
        <w:rPr>
          <w:rFonts w:cstheme="minorHAnsi"/>
          <w:color w:val="243587"/>
          <w:sz w:val="22"/>
          <w:szCs w:val="22"/>
          <w:lang w:val="en-US"/>
        </w:rPr>
        <w:t>7</w:t>
      </w:r>
      <w:r w:rsidRPr="00826754">
        <w:rPr>
          <w:rFonts w:cstheme="minorHAnsi"/>
          <w:color w:val="243587"/>
          <w:sz w:val="22"/>
          <w:szCs w:val="22"/>
          <w:lang w:val="en-US"/>
        </w:rPr>
        <w:t>,</w:t>
      </w:r>
      <w:r>
        <w:rPr>
          <w:rFonts w:cstheme="minorHAnsi"/>
          <w:color w:val="243587"/>
          <w:sz w:val="22"/>
          <w:szCs w:val="22"/>
          <w:lang w:val="en-US"/>
        </w:rPr>
        <w:t>2 mil.,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 improved</w:t>
      </w:r>
      <w:r>
        <w:rPr>
          <w:rFonts w:cstheme="minorHAnsi"/>
          <w:color w:val="243587"/>
          <w:sz w:val="22"/>
          <w:szCs w:val="22"/>
          <w:lang w:val="en-US"/>
        </w:rPr>
        <w:t xml:space="preserve"> from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 xml:space="preserve">loss of </w:t>
      </w:r>
      <w:r w:rsidRPr="003645FB">
        <w:rPr>
          <w:rFonts w:cstheme="minorHAnsi"/>
          <w:color w:val="243587"/>
          <w:sz w:val="22"/>
          <w:szCs w:val="22"/>
          <w:lang w:val="en-US"/>
        </w:rPr>
        <w:t>€1</w:t>
      </w:r>
      <w:r>
        <w:rPr>
          <w:rFonts w:cstheme="minorHAnsi"/>
          <w:color w:val="243587"/>
          <w:sz w:val="22"/>
          <w:szCs w:val="22"/>
          <w:lang w:val="en-US"/>
        </w:rPr>
        <w:t>4,7</w:t>
      </w:r>
      <w:r w:rsidRPr="003645FB">
        <w:rPr>
          <w:rFonts w:cstheme="minorHAnsi"/>
          <w:color w:val="243587"/>
          <w:sz w:val="22"/>
          <w:szCs w:val="22"/>
          <w:lang w:val="en-US"/>
        </w:rPr>
        <w:t xml:space="preserve"> mil</w:t>
      </w:r>
      <w:r>
        <w:rPr>
          <w:rFonts w:cstheme="minorHAnsi"/>
          <w:color w:val="243587"/>
          <w:sz w:val="22"/>
          <w:szCs w:val="22"/>
          <w:lang w:val="en-US"/>
        </w:rPr>
        <w:t xml:space="preserve">. 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in </w:t>
      </w:r>
      <w:r>
        <w:rPr>
          <w:rFonts w:cstheme="minorHAnsi"/>
          <w:color w:val="243587"/>
          <w:sz w:val="22"/>
          <w:szCs w:val="22"/>
          <w:lang w:val="en-US"/>
        </w:rPr>
        <w:t>Q1-</w:t>
      </w:r>
      <w:r w:rsidRPr="0093442A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3.</w:t>
      </w:r>
    </w:p>
    <w:p w14:paraId="629C5F88" w14:textId="31E063A4" w:rsidR="00511CA9" w:rsidRPr="003645FB" w:rsidRDefault="00511CA9" w:rsidP="00511CA9">
      <w:pPr>
        <w:ind w:right="5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3645FB">
        <w:rPr>
          <w:rFonts w:cstheme="minorHAnsi"/>
          <w:color w:val="243587"/>
          <w:sz w:val="22"/>
          <w:szCs w:val="22"/>
          <w:lang w:val="en-US"/>
        </w:rPr>
        <w:t>•€</w:t>
      </w:r>
      <w:r>
        <w:rPr>
          <w:rFonts w:cstheme="minorHAnsi"/>
          <w:color w:val="243587"/>
          <w:sz w:val="22"/>
          <w:szCs w:val="22"/>
          <w:lang w:val="en-US"/>
        </w:rPr>
        <w:t xml:space="preserve">21,0 </w:t>
      </w:r>
      <w:r w:rsidRPr="003645FB">
        <w:rPr>
          <w:rFonts w:cstheme="minorHAnsi"/>
          <w:color w:val="243587"/>
          <w:sz w:val="22"/>
          <w:szCs w:val="22"/>
          <w:lang w:val="en-US"/>
        </w:rPr>
        <w:t>m</w:t>
      </w:r>
      <w:r>
        <w:rPr>
          <w:rFonts w:cstheme="minorHAnsi"/>
          <w:color w:val="243587"/>
          <w:sz w:val="22"/>
          <w:szCs w:val="22"/>
          <w:lang w:val="en-US"/>
        </w:rPr>
        <w:t>il.</w:t>
      </w:r>
      <w:r w:rsidRPr="003645FB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after-tax l</w:t>
      </w:r>
      <w:r w:rsidRPr="003645FB">
        <w:rPr>
          <w:rFonts w:cstheme="minorHAnsi"/>
          <w:color w:val="243587"/>
          <w:sz w:val="22"/>
          <w:szCs w:val="22"/>
          <w:lang w:val="en-US"/>
        </w:rPr>
        <w:t>oss from €14</w:t>
      </w:r>
      <w:r>
        <w:rPr>
          <w:rFonts w:cstheme="minorHAnsi"/>
          <w:color w:val="243587"/>
          <w:sz w:val="22"/>
          <w:szCs w:val="22"/>
          <w:lang w:val="en-US"/>
        </w:rPr>
        <w:t>,</w:t>
      </w:r>
      <w:r w:rsidRPr="003645FB">
        <w:rPr>
          <w:rFonts w:cstheme="minorHAnsi"/>
          <w:color w:val="243587"/>
          <w:sz w:val="22"/>
          <w:szCs w:val="22"/>
          <w:lang w:val="en-US"/>
        </w:rPr>
        <w:t>4</w:t>
      </w:r>
      <w:r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Pr="003645FB">
        <w:rPr>
          <w:rFonts w:cstheme="minorHAnsi"/>
          <w:color w:val="243587"/>
          <w:sz w:val="22"/>
          <w:szCs w:val="22"/>
          <w:lang w:val="en-US"/>
        </w:rPr>
        <w:t>m</w:t>
      </w:r>
      <w:r>
        <w:rPr>
          <w:rFonts w:cstheme="minorHAnsi"/>
          <w:color w:val="243587"/>
          <w:sz w:val="22"/>
          <w:szCs w:val="22"/>
          <w:lang w:val="en-US"/>
        </w:rPr>
        <w:t>il.</w:t>
      </w:r>
      <w:r w:rsidRPr="003645FB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after-tax l</w:t>
      </w:r>
      <w:r w:rsidRPr="003645FB">
        <w:rPr>
          <w:rFonts w:cstheme="minorHAnsi"/>
          <w:color w:val="243587"/>
          <w:sz w:val="22"/>
          <w:szCs w:val="22"/>
          <w:lang w:val="en-US"/>
        </w:rPr>
        <w:t xml:space="preserve">oss in </w:t>
      </w:r>
      <w:r>
        <w:rPr>
          <w:rFonts w:cstheme="minorHAnsi"/>
          <w:color w:val="243587"/>
          <w:sz w:val="22"/>
          <w:szCs w:val="22"/>
          <w:lang w:val="en-US"/>
        </w:rPr>
        <w:t>Q1-</w:t>
      </w:r>
      <w:r w:rsidRPr="003645FB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3.</w:t>
      </w:r>
    </w:p>
    <w:p w14:paraId="1DE855AF" w14:textId="77777777" w:rsidR="008F7BCD" w:rsidRPr="00511CA9" w:rsidRDefault="008F7BCD" w:rsidP="008F7BCD">
      <w:pPr>
        <w:ind w:right="5"/>
        <w:rPr>
          <w:rFonts w:cstheme="minorHAnsi"/>
          <w:b/>
          <w:color w:val="002677"/>
          <w:sz w:val="28"/>
          <w:szCs w:val="28"/>
          <w:lang w:val="en-US"/>
        </w:rPr>
      </w:pPr>
    </w:p>
    <w:p w14:paraId="51F6757E" w14:textId="5A39B093" w:rsidR="000A0C2F" w:rsidRPr="00716973" w:rsidRDefault="000A0C2F" w:rsidP="00C63544">
      <w:pPr>
        <w:ind w:right="5"/>
        <w:jc w:val="both"/>
        <w:rPr>
          <w:rFonts w:cstheme="minorHAnsi"/>
          <w:color w:val="002677"/>
          <w:sz w:val="22"/>
          <w:szCs w:val="22"/>
          <w:lang w:val="en-US"/>
        </w:rPr>
      </w:pPr>
      <w:r w:rsidRPr="00716973">
        <w:rPr>
          <w:rFonts w:cstheme="minorHAnsi"/>
          <w:color w:val="002677"/>
          <w:sz w:val="22"/>
          <w:szCs w:val="22"/>
          <w:lang w:val="en-US"/>
        </w:rPr>
        <w:t xml:space="preserve">Athens, </w:t>
      </w:r>
      <w:r w:rsidR="008F7BCD">
        <w:rPr>
          <w:rFonts w:cstheme="minorHAnsi"/>
          <w:color w:val="002677"/>
          <w:sz w:val="22"/>
          <w:szCs w:val="22"/>
          <w:lang w:val="en-US"/>
        </w:rPr>
        <w:t>May 24</w:t>
      </w:r>
      <w:r w:rsidR="00CE0C75" w:rsidRPr="00716973">
        <w:rPr>
          <w:rFonts w:cstheme="minorHAnsi"/>
          <w:color w:val="002677"/>
          <w:sz w:val="22"/>
          <w:szCs w:val="22"/>
          <w:vertAlign w:val="superscript"/>
          <w:lang w:val="en-US"/>
        </w:rPr>
        <w:t>th</w:t>
      </w:r>
      <w:r w:rsidR="0001626F" w:rsidRPr="00716973">
        <w:rPr>
          <w:rFonts w:cstheme="minorHAnsi"/>
          <w:color w:val="002677"/>
          <w:sz w:val="22"/>
          <w:szCs w:val="22"/>
          <w:lang w:val="en-US"/>
        </w:rPr>
        <w:t xml:space="preserve">, </w:t>
      </w:r>
      <w:r w:rsidRPr="00716973">
        <w:rPr>
          <w:rFonts w:cstheme="minorHAnsi"/>
          <w:color w:val="002677"/>
          <w:sz w:val="22"/>
          <w:szCs w:val="22"/>
          <w:lang w:val="en-US"/>
        </w:rPr>
        <w:t>202</w:t>
      </w:r>
      <w:r w:rsidR="00F450B4" w:rsidRPr="00716973">
        <w:rPr>
          <w:rFonts w:cstheme="minorHAnsi"/>
          <w:color w:val="002677"/>
          <w:sz w:val="22"/>
          <w:szCs w:val="22"/>
          <w:lang w:val="en-US"/>
        </w:rPr>
        <w:t>4</w:t>
      </w:r>
      <w:r w:rsidR="00274703" w:rsidRPr="00716973">
        <w:rPr>
          <w:rFonts w:cstheme="minorHAnsi"/>
          <w:color w:val="002677"/>
          <w:sz w:val="22"/>
          <w:szCs w:val="22"/>
          <w:lang w:val="en-US"/>
        </w:rPr>
        <w:t xml:space="preserve"> </w:t>
      </w:r>
    </w:p>
    <w:p w14:paraId="77064EAB" w14:textId="2E86BFD6" w:rsidR="0062663E" w:rsidRDefault="0062663E" w:rsidP="00C63544">
      <w:pPr>
        <w:ind w:right="5"/>
        <w:jc w:val="both"/>
        <w:rPr>
          <w:rFonts w:cstheme="minorHAnsi"/>
          <w:color w:val="002677"/>
          <w:sz w:val="22"/>
          <w:szCs w:val="22"/>
          <w:lang w:val="en-US"/>
        </w:rPr>
      </w:pPr>
    </w:p>
    <w:p w14:paraId="1F72A50D" w14:textId="78F1B4B6" w:rsidR="00511CA9" w:rsidRPr="00E12B5C" w:rsidRDefault="00511CA9" w:rsidP="00511CA9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E12B5C">
        <w:rPr>
          <w:rFonts w:cstheme="minorHAnsi"/>
          <w:color w:val="243587"/>
          <w:sz w:val="22"/>
          <w:szCs w:val="22"/>
          <w:lang w:val="en-US"/>
        </w:rPr>
        <w:t xml:space="preserve">AEGEAN announces its key financial and operating results for the first quarter of 2024. </w:t>
      </w:r>
      <w:r w:rsidR="0019219E">
        <w:rPr>
          <w:rFonts w:cstheme="minorHAnsi"/>
          <w:color w:val="243587"/>
          <w:sz w:val="22"/>
          <w:szCs w:val="22"/>
          <w:lang w:val="en-US"/>
        </w:rPr>
        <w:t>R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evenue reached </w:t>
      </w:r>
      <w:r w:rsidRPr="00511CA9">
        <w:rPr>
          <w:rFonts w:cstheme="minorHAnsi"/>
          <w:color w:val="243587"/>
          <w:sz w:val="22"/>
          <w:szCs w:val="22"/>
          <w:lang w:val="en-US"/>
        </w:rPr>
        <w:t xml:space="preserve">€268,8 </w:t>
      </w:r>
      <w:r w:rsidRPr="00E12B5C">
        <w:rPr>
          <w:rFonts w:cstheme="minorHAnsi"/>
          <w:color w:val="243587"/>
          <w:sz w:val="22"/>
          <w:szCs w:val="22"/>
          <w:lang w:val="en-US"/>
        </w:rPr>
        <w:t>mil.</w:t>
      </w:r>
      <w:r w:rsidR="002E61CA" w:rsidRPr="00E12B5C">
        <w:rPr>
          <w:rFonts w:cstheme="minorHAnsi"/>
          <w:color w:val="243587"/>
          <w:sz w:val="22"/>
          <w:szCs w:val="22"/>
          <w:lang w:val="en-US"/>
        </w:rPr>
        <w:t>,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 17% higher than Q1-23.</w:t>
      </w:r>
    </w:p>
    <w:p w14:paraId="76E3671A" w14:textId="63C2744E" w:rsidR="00A61D15" w:rsidRDefault="00511CA9" w:rsidP="00A61D15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E12B5C">
        <w:rPr>
          <w:rFonts w:cstheme="minorHAnsi"/>
          <w:color w:val="243587"/>
          <w:sz w:val="22"/>
          <w:szCs w:val="22"/>
          <w:lang w:val="en-US"/>
        </w:rPr>
        <w:t xml:space="preserve">Following </w:t>
      </w:r>
      <w:r w:rsidR="003C0A2A" w:rsidRPr="00E12B5C">
        <w:rPr>
          <w:rFonts w:cstheme="minorHAnsi"/>
          <w:color w:val="243587"/>
          <w:sz w:val="22"/>
          <w:szCs w:val="22"/>
          <w:lang w:val="en-US"/>
        </w:rPr>
        <w:t>2023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A61D15" w:rsidRPr="00E12B5C">
        <w:rPr>
          <w:rFonts w:cstheme="minorHAnsi"/>
          <w:color w:val="243587"/>
          <w:sz w:val="22"/>
          <w:szCs w:val="22"/>
          <w:lang w:val="en-US"/>
        </w:rPr>
        <w:t xml:space="preserve">high </w:t>
      </w:r>
      <w:r w:rsidR="00842678" w:rsidRPr="00E12B5C">
        <w:rPr>
          <w:rFonts w:cstheme="minorHAnsi"/>
          <w:color w:val="243587"/>
          <w:sz w:val="22"/>
          <w:szCs w:val="22"/>
          <w:lang w:val="en-US"/>
        </w:rPr>
        <w:t>performance</w:t>
      </w:r>
      <w:r w:rsidR="00A61D15" w:rsidRPr="00E12B5C">
        <w:rPr>
          <w:rFonts w:cstheme="minorHAnsi"/>
          <w:color w:val="243587"/>
          <w:sz w:val="22"/>
          <w:szCs w:val="22"/>
          <w:lang w:val="en-US"/>
        </w:rPr>
        <w:t>, AEGEAN</w:t>
      </w:r>
      <w:r w:rsidR="003C0A2A" w:rsidRPr="00E12B5C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A61D15" w:rsidRPr="00E12B5C">
        <w:rPr>
          <w:rFonts w:cstheme="minorHAnsi"/>
          <w:color w:val="243587"/>
          <w:sz w:val="22"/>
          <w:szCs w:val="22"/>
          <w:lang w:val="en-US"/>
        </w:rPr>
        <w:t>continued its growth path</w:t>
      </w:r>
      <w:r w:rsidR="00913D87" w:rsidRPr="00E12B5C">
        <w:rPr>
          <w:rFonts w:cstheme="minorHAnsi"/>
          <w:color w:val="243587"/>
          <w:sz w:val="22"/>
          <w:szCs w:val="22"/>
          <w:lang w:val="en-US"/>
        </w:rPr>
        <w:t>,</w:t>
      </w:r>
      <w:r w:rsidR="00A61D15" w:rsidRPr="00E12B5C">
        <w:rPr>
          <w:rFonts w:cstheme="minorHAnsi"/>
          <w:color w:val="243587"/>
          <w:sz w:val="22"/>
          <w:szCs w:val="22"/>
          <w:lang w:val="en-US"/>
        </w:rPr>
        <w:t xml:space="preserve"> further increasing capacity in the winter months. </w:t>
      </w:r>
      <w:r w:rsidR="00A61D15">
        <w:rPr>
          <w:rFonts w:cstheme="minorHAnsi"/>
          <w:color w:val="243587"/>
          <w:sz w:val="22"/>
          <w:szCs w:val="22"/>
          <w:lang w:val="en-US"/>
        </w:rPr>
        <w:t>T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>he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>Group offered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10% more seats on </w:t>
      </w:r>
      <w:r w:rsidR="00AA05E9">
        <w:rPr>
          <w:rFonts w:cstheme="minorHAnsi"/>
          <w:color w:val="243587"/>
          <w:sz w:val="22"/>
          <w:szCs w:val="22"/>
          <w:lang w:val="en-US"/>
        </w:rPr>
        <w:t>its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international network which included 85 direct </w:t>
      </w:r>
      <w:r w:rsidR="00AA05E9">
        <w:rPr>
          <w:rFonts w:cstheme="minorHAnsi"/>
          <w:color w:val="243587"/>
          <w:sz w:val="22"/>
          <w:szCs w:val="22"/>
          <w:lang w:val="en-US"/>
        </w:rPr>
        <w:t>routes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from </w:t>
      </w:r>
      <w:r w:rsidR="003C0A2A">
        <w:rPr>
          <w:rFonts w:cstheme="minorHAnsi"/>
          <w:color w:val="243587"/>
          <w:sz w:val="22"/>
          <w:szCs w:val="22"/>
          <w:lang w:val="en-US"/>
        </w:rPr>
        <w:t>the country’s two main airports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. </w:t>
      </w:r>
      <w:r w:rsidR="00913D87">
        <w:rPr>
          <w:rFonts w:cstheme="minorHAnsi"/>
          <w:color w:val="243587"/>
          <w:sz w:val="22"/>
          <w:szCs w:val="22"/>
          <w:lang w:val="en-US"/>
        </w:rPr>
        <w:t>T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he Group offered 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>3</w:t>
      </w:r>
      <w:r w:rsidR="00A61D15">
        <w:rPr>
          <w:rFonts w:cstheme="minorHAnsi"/>
          <w:color w:val="243587"/>
          <w:sz w:val="22"/>
          <w:szCs w:val="22"/>
          <w:lang w:val="en-US"/>
        </w:rPr>
        <w:t>,</w:t>
      </w:r>
      <w:r w:rsidR="008E41B2" w:rsidRPr="008E41B2">
        <w:rPr>
          <w:rFonts w:cstheme="minorHAnsi"/>
          <w:color w:val="243587"/>
          <w:sz w:val="22"/>
          <w:szCs w:val="22"/>
          <w:lang w:val="en-US"/>
        </w:rPr>
        <w:t>8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</w:t>
      </w:r>
      <w:proofErr w:type="spellStart"/>
      <w:r w:rsidR="008E41B2">
        <w:rPr>
          <w:rFonts w:cstheme="minorHAnsi"/>
          <w:color w:val="243587"/>
          <w:sz w:val="22"/>
          <w:szCs w:val="22"/>
          <w:lang w:val="en-US"/>
        </w:rPr>
        <w:t>bil</w:t>
      </w:r>
      <w:proofErr w:type="spellEnd"/>
      <w:r w:rsidR="008E41B2">
        <w:rPr>
          <w:rFonts w:cstheme="minorHAnsi"/>
          <w:color w:val="243587"/>
          <w:sz w:val="22"/>
          <w:szCs w:val="22"/>
          <w:lang w:val="en-US"/>
        </w:rPr>
        <w:t>.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A61D15">
        <w:rPr>
          <w:rFonts w:cstheme="minorHAnsi"/>
          <w:color w:val="243587"/>
          <w:sz w:val="22"/>
          <w:szCs w:val="22"/>
          <w:lang w:val="en-US"/>
        </w:rPr>
        <w:t>ASKs, 12% more than Q1-23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and </w:t>
      </w:r>
      <w:r w:rsidR="00A61D15">
        <w:rPr>
          <w:rFonts w:cstheme="minorHAnsi"/>
          <w:color w:val="243587"/>
          <w:sz w:val="22"/>
          <w:szCs w:val="22"/>
          <w:lang w:val="en-US"/>
        </w:rPr>
        <w:t>welcomed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2</w:t>
      </w:r>
      <w:r w:rsidR="00A61D15">
        <w:rPr>
          <w:rFonts w:cstheme="minorHAnsi"/>
          <w:color w:val="243587"/>
          <w:sz w:val="22"/>
          <w:szCs w:val="22"/>
          <w:lang w:val="en-US"/>
        </w:rPr>
        <w:t>,</w:t>
      </w:r>
      <w:r w:rsidR="008D31C2">
        <w:rPr>
          <w:rFonts w:cstheme="minorHAnsi"/>
          <w:color w:val="243587"/>
          <w:sz w:val="22"/>
          <w:szCs w:val="22"/>
          <w:lang w:val="en-US"/>
        </w:rPr>
        <w:t>9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million passengers,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11% more than Q1-23, out of which 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>1</w:t>
      </w:r>
      <w:r w:rsidR="00A61D15">
        <w:rPr>
          <w:rFonts w:cstheme="minorHAnsi"/>
          <w:color w:val="243587"/>
          <w:sz w:val="22"/>
          <w:szCs w:val="22"/>
          <w:lang w:val="en-US"/>
        </w:rPr>
        <w:t>,</w:t>
      </w:r>
      <w:r w:rsidR="006A60E5">
        <w:rPr>
          <w:rFonts w:cstheme="minorHAnsi"/>
          <w:color w:val="243587"/>
          <w:sz w:val="22"/>
          <w:szCs w:val="22"/>
          <w:lang w:val="en-US"/>
        </w:rPr>
        <w:t>7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million passengers from/to </w:t>
      </w:r>
      <w:r w:rsidR="00A61D15">
        <w:rPr>
          <w:rFonts w:cstheme="minorHAnsi"/>
          <w:color w:val="243587"/>
          <w:sz w:val="22"/>
          <w:szCs w:val="22"/>
          <w:lang w:val="en-US"/>
        </w:rPr>
        <w:t>international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destinations. </w:t>
      </w:r>
      <w:r w:rsidR="00A61D15">
        <w:rPr>
          <w:rFonts w:cstheme="minorHAnsi"/>
          <w:color w:val="243587"/>
          <w:sz w:val="22"/>
          <w:szCs w:val="22"/>
          <w:lang w:val="en-US"/>
        </w:rPr>
        <w:t>Load factor reached</w:t>
      </w:r>
      <w:r w:rsidR="00A61D15" w:rsidRPr="003645FB">
        <w:rPr>
          <w:rFonts w:cstheme="minorHAnsi"/>
          <w:color w:val="243587"/>
          <w:sz w:val="22"/>
          <w:szCs w:val="22"/>
          <w:lang w:val="en-US"/>
        </w:rPr>
        <w:t xml:space="preserve"> 82%</w:t>
      </w:r>
      <w:r w:rsidR="00A61D15">
        <w:rPr>
          <w:rFonts w:cstheme="minorHAnsi"/>
          <w:color w:val="243587"/>
          <w:sz w:val="22"/>
          <w:szCs w:val="22"/>
          <w:lang w:val="en-US"/>
        </w:rPr>
        <w:t>.</w:t>
      </w:r>
    </w:p>
    <w:p w14:paraId="60E6D5C1" w14:textId="7EFCDC35" w:rsidR="00A61D15" w:rsidRPr="00AA05E9" w:rsidRDefault="00EC6E83" w:rsidP="00A61D15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E12B5C">
        <w:rPr>
          <w:rFonts w:cstheme="minorHAnsi"/>
          <w:color w:val="243587"/>
          <w:sz w:val="22"/>
          <w:szCs w:val="22"/>
          <w:lang w:val="en-US"/>
        </w:rPr>
        <w:t>AEGEAN</w:t>
      </w:r>
      <w:r w:rsidR="00A61D15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842678">
        <w:rPr>
          <w:rFonts w:cstheme="minorHAnsi"/>
          <w:color w:val="243587"/>
          <w:sz w:val="22"/>
          <w:szCs w:val="22"/>
          <w:lang w:val="en-US"/>
        </w:rPr>
        <w:t xml:space="preserve">maintained its growth trajectory and along with </w:t>
      </w:r>
      <w:r w:rsidR="00913D87">
        <w:rPr>
          <w:rFonts w:cstheme="minorHAnsi"/>
          <w:color w:val="243587"/>
          <w:sz w:val="22"/>
          <w:szCs w:val="22"/>
          <w:lang w:val="en-US"/>
        </w:rPr>
        <w:t>efficient</w:t>
      </w:r>
      <w:r w:rsidR="00842678">
        <w:rPr>
          <w:rFonts w:cstheme="minorHAnsi"/>
          <w:color w:val="243587"/>
          <w:sz w:val="22"/>
          <w:szCs w:val="22"/>
          <w:lang w:val="en-US"/>
        </w:rPr>
        <w:t xml:space="preserve"> cost management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C9286A">
        <w:rPr>
          <w:rFonts w:cstheme="minorHAnsi"/>
          <w:color w:val="243587"/>
          <w:sz w:val="22"/>
          <w:szCs w:val="22"/>
          <w:lang w:val="en-US"/>
        </w:rPr>
        <w:t>has</w:t>
      </w:r>
      <w:r w:rsidR="00C9286A" w:rsidRPr="00DE6736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C9286A">
        <w:rPr>
          <w:rFonts w:cstheme="minorHAnsi"/>
          <w:color w:val="243587"/>
          <w:sz w:val="22"/>
          <w:szCs w:val="22"/>
          <w:lang w:val="en-US"/>
        </w:rPr>
        <w:t>improved</w:t>
      </w:r>
      <w:r w:rsidR="00842678">
        <w:rPr>
          <w:rFonts w:cstheme="minorHAnsi"/>
          <w:color w:val="243587"/>
          <w:sz w:val="22"/>
          <w:szCs w:val="22"/>
          <w:lang w:val="en-US"/>
        </w:rPr>
        <w:t xml:space="preserve"> EBITDA profit </w:t>
      </w:r>
      <w:r w:rsidR="00913D87">
        <w:rPr>
          <w:rFonts w:cstheme="minorHAnsi"/>
          <w:color w:val="243587"/>
          <w:sz w:val="22"/>
          <w:szCs w:val="22"/>
          <w:lang w:val="en-US"/>
        </w:rPr>
        <w:t>to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842678" w:rsidRPr="00826754">
        <w:rPr>
          <w:rFonts w:cstheme="minorHAnsi"/>
          <w:color w:val="243587"/>
          <w:sz w:val="22"/>
          <w:szCs w:val="22"/>
          <w:lang w:val="en-US"/>
        </w:rPr>
        <w:t>€</w:t>
      </w:r>
      <w:r w:rsidR="00842678">
        <w:rPr>
          <w:rFonts w:cstheme="minorHAnsi"/>
          <w:color w:val="243587"/>
          <w:sz w:val="22"/>
          <w:szCs w:val="22"/>
          <w:lang w:val="en-US"/>
        </w:rPr>
        <w:t>33</w:t>
      </w:r>
      <w:r w:rsidR="00842678" w:rsidRPr="00826754">
        <w:rPr>
          <w:rFonts w:cstheme="minorHAnsi"/>
          <w:color w:val="243587"/>
          <w:sz w:val="22"/>
          <w:szCs w:val="22"/>
          <w:lang w:val="en-US"/>
        </w:rPr>
        <w:t>,</w:t>
      </w:r>
      <w:r w:rsidR="00842678">
        <w:rPr>
          <w:rFonts w:cstheme="minorHAnsi"/>
          <w:color w:val="243587"/>
          <w:sz w:val="22"/>
          <w:szCs w:val="22"/>
          <w:lang w:val="en-US"/>
        </w:rPr>
        <w:t xml:space="preserve">2 mil., from </w:t>
      </w:r>
      <w:r w:rsidR="00842678" w:rsidRPr="003645FB">
        <w:rPr>
          <w:rFonts w:cstheme="minorHAnsi"/>
          <w:color w:val="243587"/>
          <w:sz w:val="22"/>
          <w:szCs w:val="22"/>
          <w:lang w:val="en-US"/>
        </w:rPr>
        <w:t>€1</w:t>
      </w:r>
      <w:r w:rsidR="00842678">
        <w:rPr>
          <w:rFonts w:cstheme="minorHAnsi"/>
          <w:color w:val="243587"/>
          <w:sz w:val="22"/>
          <w:szCs w:val="22"/>
          <w:lang w:val="en-US"/>
        </w:rPr>
        <w:t>9,3</w:t>
      </w:r>
      <w:r w:rsidR="00842678" w:rsidRPr="003645FB">
        <w:rPr>
          <w:rFonts w:cstheme="minorHAnsi"/>
          <w:color w:val="243587"/>
          <w:sz w:val="22"/>
          <w:szCs w:val="22"/>
          <w:lang w:val="en-US"/>
        </w:rPr>
        <w:t xml:space="preserve"> mil</w:t>
      </w:r>
      <w:r w:rsidR="00842678">
        <w:rPr>
          <w:rFonts w:cstheme="minorHAnsi"/>
          <w:color w:val="243587"/>
          <w:sz w:val="22"/>
          <w:szCs w:val="22"/>
          <w:lang w:val="en-US"/>
        </w:rPr>
        <w:t>. in Q1-</w:t>
      </w:r>
      <w:r w:rsidR="00842678" w:rsidRPr="0093442A">
        <w:rPr>
          <w:rFonts w:cstheme="minorHAnsi"/>
          <w:color w:val="243587"/>
          <w:sz w:val="22"/>
          <w:szCs w:val="22"/>
          <w:lang w:val="en-US"/>
        </w:rPr>
        <w:t>2</w:t>
      </w:r>
      <w:r w:rsidR="00842678">
        <w:rPr>
          <w:rFonts w:cstheme="minorHAnsi"/>
          <w:color w:val="243587"/>
          <w:sz w:val="22"/>
          <w:szCs w:val="22"/>
          <w:lang w:val="en-US"/>
        </w:rPr>
        <w:t xml:space="preserve">3, </w:t>
      </w:r>
      <w:r w:rsidR="00913D87">
        <w:rPr>
          <w:rFonts w:cstheme="minorHAnsi"/>
          <w:color w:val="243587"/>
          <w:sz w:val="22"/>
          <w:szCs w:val="22"/>
          <w:lang w:val="en-US"/>
        </w:rPr>
        <w:t>as well as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 operating result</w:t>
      </w:r>
      <w:r w:rsidR="00571318">
        <w:rPr>
          <w:rFonts w:cstheme="minorHAnsi"/>
          <w:color w:val="243587"/>
          <w:sz w:val="22"/>
          <w:szCs w:val="22"/>
          <w:lang w:val="en-US"/>
        </w:rPr>
        <w:t>s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with 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EBIT 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losses narrowing 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to </w:t>
      </w:r>
      <w:r w:rsidR="003C0A2A" w:rsidRPr="003C0A2A">
        <w:rPr>
          <w:rFonts w:cstheme="minorHAnsi"/>
          <w:color w:val="243587"/>
          <w:sz w:val="22"/>
          <w:szCs w:val="22"/>
          <w:lang w:val="en-US"/>
        </w:rPr>
        <w:t>€7,2</w:t>
      </w:r>
      <w:r w:rsidR="003C0A2A">
        <w:rPr>
          <w:rFonts w:cstheme="minorHAnsi"/>
          <w:color w:val="243587"/>
          <w:sz w:val="22"/>
          <w:szCs w:val="22"/>
          <w:lang w:val="en-US"/>
        </w:rPr>
        <w:t xml:space="preserve"> mil. from </w:t>
      </w:r>
      <w:r w:rsidR="003C0A2A" w:rsidRPr="003C0A2A">
        <w:rPr>
          <w:rFonts w:cstheme="minorHAnsi"/>
          <w:color w:val="243587"/>
          <w:sz w:val="22"/>
          <w:szCs w:val="22"/>
          <w:lang w:val="en-US"/>
        </w:rPr>
        <w:t>€</w:t>
      </w:r>
      <w:r w:rsidR="003C0A2A">
        <w:rPr>
          <w:rFonts w:cstheme="minorHAnsi"/>
          <w:color w:val="243587"/>
          <w:sz w:val="22"/>
          <w:szCs w:val="22"/>
          <w:lang w:val="en-US"/>
        </w:rPr>
        <w:t>14</w:t>
      </w:r>
      <w:r w:rsidR="003C0A2A" w:rsidRPr="003C0A2A">
        <w:rPr>
          <w:rFonts w:cstheme="minorHAnsi"/>
          <w:color w:val="243587"/>
          <w:sz w:val="22"/>
          <w:szCs w:val="22"/>
          <w:lang w:val="en-US"/>
        </w:rPr>
        <w:t>,</w:t>
      </w:r>
      <w:r w:rsidR="003C0A2A">
        <w:rPr>
          <w:rFonts w:cstheme="minorHAnsi"/>
          <w:color w:val="243587"/>
          <w:sz w:val="22"/>
          <w:szCs w:val="22"/>
          <w:lang w:val="en-US"/>
        </w:rPr>
        <w:t>7 mil. in Q1-23.</w:t>
      </w:r>
    </w:p>
    <w:p w14:paraId="2C71C2D2" w14:textId="0368AF53" w:rsidR="002E61CA" w:rsidRPr="002E61CA" w:rsidRDefault="002E61CA" w:rsidP="002E61CA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2E61CA">
        <w:rPr>
          <w:rFonts w:cstheme="minorHAnsi"/>
          <w:color w:val="243587"/>
          <w:sz w:val="22"/>
          <w:szCs w:val="22"/>
          <w:lang w:val="en-US"/>
        </w:rPr>
        <w:t xml:space="preserve">The Group continues its 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fleet </w:t>
      </w:r>
      <w:r w:rsidRPr="002E61CA">
        <w:rPr>
          <w:rFonts w:cstheme="minorHAnsi"/>
          <w:color w:val="243587"/>
          <w:sz w:val="22"/>
          <w:szCs w:val="22"/>
          <w:lang w:val="en-US"/>
        </w:rPr>
        <w:t xml:space="preserve">investment plan with </w:t>
      </w:r>
      <w:r w:rsidR="00C9286A">
        <w:rPr>
          <w:rFonts w:cstheme="minorHAnsi"/>
          <w:color w:val="243587"/>
          <w:sz w:val="22"/>
          <w:szCs w:val="22"/>
          <w:lang w:val="en-US"/>
        </w:rPr>
        <w:t>7</w:t>
      </w:r>
      <w:r w:rsidRPr="002E61CA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new </w:t>
      </w:r>
      <w:r w:rsidRPr="002E61CA">
        <w:rPr>
          <w:rFonts w:cstheme="minorHAnsi"/>
          <w:color w:val="243587"/>
          <w:sz w:val="22"/>
          <w:szCs w:val="22"/>
          <w:lang w:val="en-US"/>
        </w:rPr>
        <w:t xml:space="preserve">aircraft delivered since March 2023, while has also extended operating leases, reaching a fleet of </w:t>
      </w:r>
      <w:r w:rsidR="009E219E" w:rsidRPr="009E219E">
        <w:rPr>
          <w:rFonts w:cstheme="minorHAnsi"/>
          <w:color w:val="243587"/>
          <w:sz w:val="22"/>
          <w:szCs w:val="22"/>
          <w:lang w:val="en-US"/>
        </w:rPr>
        <w:t>7</w:t>
      </w:r>
      <w:r w:rsidR="009E219E" w:rsidRPr="00FF73B2">
        <w:rPr>
          <w:rFonts w:cstheme="minorHAnsi"/>
          <w:color w:val="243587"/>
          <w:sz w:val="22"/>
          <w:szCs w:val="22"/>
          <w:lang w:val="en-US"/>
        </w:rPr>
        <w:t>9</w:t>
      </w:r>
      <w:r w:rsidRPr="002E61CA">
        <w:rPr>
          <w:rFonts w:cstheme="minorHAnsi"/>
          <w:color w:val="243587"/>
          <w:sz w:val="22"/>
          <w:szCs w:val="22"/>
          <w:lang w:val="en-US"/>
        </w:rPr>
        <w:t xml:space="preserve"> aircraft, thus impacting depreciation cost by 19% 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compared to </w:t>
      </w:r>
      <w:r w:rsidRPr="002E61CA">
        <w:rPr>
          <w:rFonts w:cstheme="minorHAnsi"/>
          <w:color w:val="243587"/>
          <w:sz w:val="22"/>
          <w:szCs w:val="22"/>
          <w:lang w:val="en-US"/>
        </w:rPr>
        <w:t xml:space="preserve">Q1-23. </w:t>
      </w:r>
    </w:p>
    <w:p w14:paraId="5E1BF3EB" w14:textId="0426C319" w:rsidR="000862CB" w:rsidRPr="00E12B5C" w:rsidRDefault="003C0A2A" w:rsidP="000862C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>
        <w:rPr>
          <w:rFonts w:cstheme="minorHAnsi"/>
          <w:color w:val="243587"/>
          <w:sz w:val="22"/>
          <w:szCs w:val="22"/>
          <w:lang w:val="en-US"/>
        </w:rPr>
        <w:t xml:space="preserve">Despite the improvement in the operating result, 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>n</w:t>
      </w:r>
      <w:r w:rsidR="00C718CE" w:rsidRPr="00E12B5C">
        <w:rPr>
          <w:rFonts w:cstheme="minorHAnsi"/>
          <w:color w:val="243587"/>
          <w:sz w:val="22"/>
          <w:szCs w:val="22"/>
          <w:lang w:val="en-US"/>
        </w:rPr>
        <w:t xml:space="preserve">et 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>l</w:t>
      </w:r>
      <w:r w:rsidR="00C718CE" w:rsidRPr="00E12B5C">
        <w:rPr>
          <w:rFonts w:cstheme="minorHAnsi"/>
          <w:color w:val="243587"/>
          <w:sz w:val="22"/>
          <w:szCs w:val="22"/>
          <w:lang w:val="en-US"/>
        </w:rPr>
        <w:t xml:space="preserve">osses reached €21,0 mil. from 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 xml:space="preserve">net </w:t>
      </w:r>
      <w:r w:rsidR="00C718CE" w:rsidRPr="00E12B5C">
        <w:rPr>
          <w:rFonts w:cstheme="minorHAnsi"/>
          <w:color w:val="243587"/>
          <w:sz w:val="22"/>
          <w:szCs w:val="22"/>
          <w:lang w:val="en-US"/>
        </w:rPr>
        <w:t>losses of €14,4 mil in Q1-23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, mainly due to adverse USD movement since the start of the year which 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 xml:space="preserve">has </w:t>
      </w:r>
      <w:r w:rsidRPr="00E12B5C">
        <w:rPr>
          <w:rFonts w:cstheme="minorHAnsi"/>
          <w:color w:val="243587"/>
          <w:sz w:val="22"/>
          <w:szCs w:val="22"/>
          <w:lang w:val="en-US"/>
        </w:rPr>
        <w:t>impact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>ed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 the valuation of future lease</w:t>
      </w:r>
      <w:r w:rsidR="00571318" w:rsidRPr="00E12B5C">
        <w:rPr>
          <w:rFonts w:cstheme="minorHAnsi"/>
          <w:color w:val="243587"/>
          <w:sz w:val="22"/>
          <w:szCs w:val="22"/>
          <w:lang w:val="en-US"/>
        </w:rPr>
        <w:t>s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913D87" w:rsidRPr="00E12B5C">
        <w:rPr>
          <w:rFonts w:cstheme="minorHAnsi"/>
          <w:color w:val="243587"/>
          <w:sz w:val="22"/>
          <w:szCs w:val="22"/>
          <w:lang w:val="en-US"/>
        </w:rPr>
        <w:t>liabilities</w:t>
      </w:r>
      <w:r w:rsidRPr="00E12B5C">
        <w:rPr>
          <w:rFonts w:cstheme="minorHAnsi"/>
          <w:color w:val="243587"/>
          <w:sz w:val="22"/>
          <w:szCs w:val="22"/>
          <w:lang w:val="en-US"/>
        </w:rPr>
        <w:t xml:space="preserve">. </w:t>
      </w:r>
    </w:p>
    <w:p w14:paraId="7AB74A22" w14:textId="7598889F" w:rsidR="00C718CE" w:rsidRPr="00AB1FFB" w:rsidRDefault="00C718CE" w:rsidP="00AB1FF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6F6C18">
        <w:rPr>
          <w:rFonts w:cstheme="minorHAnsi"/>
          <w:color w:val="243587"/>
          <w:sz w:val="22"/>
          <w:szCs w:val="22"/>
          <w:lang w:val="en-US"/>
        </w:rPr>
        <w:lastRenderedPageBreak/>
        <w:t xml:space="preserve">During </w:t>
      </w:r>
      <w:r>
        <w:rPr>
          <w:rFonts w:cstheme="minorHAnsi"/>
          <w:color w:val="243587"/>
          <w:sz w:val="22"/>
          <w:szCs w:val="22"/>
          <w:lang w:val="en-US"/>
        </w:rPr>
        <w:t>Q1-</w:t>
      </w:r>
      <w:r w:rsidRPr="006F6C18">
        <w:rPr>
          <w:rFonts w:cstheme="minorHAnsi"/>
          <w:color w:val="243587"/>
          <w:sz w:val="22"/>
          <w:szCs w:val="22"/>
          <w:lang w:val="en-US"/>
        </w:rPr>
        <w:t>2</w:t>
      </w:r>
      <w:r>
        <w:rPr>
          <w:rFonts w:cstheme="minorHAnsi"/>
          <w:color w:val="243587"/>
          <w:sz w:val="22"/>
          <w:szCs w:val="22"/>
          <w:lang w:val="en-US"/>
        </w:rPr>
        <w:t>4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AEGEAN </w:t>
      </w:r>
      <w:r>
        <w:rPr>
          <w:rFonts w:cstheme="minorHAnsi"/>
          <w:color w:val="243587"/>
          <w:sz w:val="22"/>
          <w:szCs w:val="22"/>
          <w:lang w:val="en-US"/>
        </w:rPr>
        <w:t>recorded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robust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cash flow</w:t>
      </w:r>
      <w:r>
        <w:rPr>
          <w:rFonts w:cstheme="minorHAnsi"/>
          <w:color w:val="243587"/>
          <w:sz w:val="22"/>
          <w:szCs w:val="22"/>
          <w:lang w:val="en-US"/>
        </w:rPr>
        <w:t xml:space="preserve"> generation of </w:t>
      </w:r>
      <w:r w:rsidRPr="006F6C18">
        <w:rPr>
          <w:rFonts w:cstheme="minorHAnsi"/>
          <w:color w:val="243587"/>
          <w:sz w:val="22"/>
          <w:szCs w:val="22"/>
          <w:lang w:val="en-US"/>
        </w:rPr>
        <w:t>€</w:t>
      </w:r>
      <w:r>
        <w:rPr>
          <w:rFonts w:cstheme="minorHAnsi"/>
          <w:color w:val="243587"/>
          <w:sz w:val="22"/>
          <w:szCs w:val="22"/>
          <w:lang w:val="en-US"/>
        </w:rPr>
        <w:t xml:space="preserve">188,6 </w:t>
      </w:r>
      <w:r w:rsidRPr="006F6C18">
        <w:rPr>
          <w:rFonts w:cstheme="minorHAnsi"/>
          <w:color w:val="243587"/>
          <w:sz w:val="22"/>
          <w:szCs w:val="22"/>
          <w:lang w:val="en-US"/>
        </w:rPr>
        <w:t>m</w:t>
      </w:r>
      <w:r>
        <w:rPr>
          <w:rFonts w:cstheme="minorHAnsi"/>
          <w:color w:val="243587"/>
          <w:sz w:val="22"/>
          <w:szCs w:val="22"/>
          <w:lang w:val="en-US"/>
        </w:rPr>
        <w:t>il.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</w:t>
      </w:r>
      <w:r>
        <w:rPr>
          <w:rFonts w:cstheme="minorHAnsi"/>
          <w:color w:val="243587"/>
          <w:sz w:val="22"/>
          <w:szCs w:val="22"/>
          <w:lang w:val="en-US"/>
        </w:rPr>
        <w:t>due also to higher pre-bookings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for the summer period</w:t>
      </w:r>
      <w:r>
        <w:rPr>
          <w:rFonts w:cstheme="minorHAnsi"/>
          <w:color w:val="243587"/>
          <w:sz w:val="22"/>
          <w:szCs w:val="22"/>
          <w:lang w:val="en-US"/>
        </w:rPr>
        <w:t xml:space="preserve">. </w:t>
      </w:r>
      <w:r w:rsidR="00571318">
        <w:rPr>
          <w:rFonts w:cstheme="minorHAnsi"/>
          <w:color w:val="243587"/>
          <w:sz w:val="22"/>
          <w:szCs w:val="22"/>
          <w:lang w:val="en-US"/>
        </w:rPr>
        <w:t>O</w:t>
      </w:r>
      <w:r w:rsidR="00571318" w:rsidRPr="006F6C18">
        <w:rPr>
          <w:rFonts w:cstheme="minorHAnsi"/>
          <w:color w:val="243587"/>
          <w:sz w:val="22"/>
          <w:szCs w:val="22"/>
          <w:lang w:val="en-US"/>
        </w:rPr>
        <w:t>n 31.03.</w:t>
      </w:r>
      <w:r w:rsidR="004B721F" w:rsidRPr="004B721F">
        <w:rPr>
          <w:rFonts w:cstheme="minorHAnsi"/>
          <w:color w:val="243587"/>
          <w:sz w:val="22"/>
          <w:szCs w:val="22"/>
          <w:lang w:val="en-US"/>
        </w:rPr>
        <w:t>20</w:t>
      </w:r>
      <w:r w:rsidR="00571318" w:rsidRPr="006F6C18">
        <w:rPr>
          <w:rFonts w:cstheme="minorHAnsi"/>
          <w:color w:val="243587"/>
          <w:sz w:val="22"/>
          <w:szCs w:val="22"/>
          <w:lang w:val="en-US"/>
        </w:rPr>
        <w:t>2</w:t>
      </w:r>
      <w:r w:rsidR="00571318">
        <w:rPr>
          <w:rFonts w:cstheme="minorHAnsi"/>
          <w:color w:val="243587"/>
          <w:sz w:val="22"/>
          <w:szCs w:val="22"/>
          <w:lang w:val="en-US"/>
        </w:rPr>
        <w:t>4</w:t>
      </w:r>
      <w:r w:rsidR="00DB6EE7">
        <w:rPr>
          <w:rFonts w:cstheme="minorHAnsi"/>
          <w:color w:val="243587"/>
          <w:sz w:val="22"/>
          <w:szCs w:val="22"/>
          <w:lang w:val="en-US"/>
        </w:rPr>
        <w:t>,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 c</w:t>
      </w:r>
      <w:r w:rsidRPr="006F6C18">
        <w:rPr>
          <w:rFonts w:cstheme="minorHAnsi"/>
          <w:color w:val="243587"/>
          <w:sz w:val="22"/>
          <w:szCs w:val="22"/>
          <w:lang w:val="en-US"/>
        </w:rPr>
        <w:t>ash</w:t>
      </w:r>
      <w:r>
        <w:rPr>
          <w:rFonts w:cstheme="minorHAnsi"/>
          <w:color w:val="243587"/>
          <w:sz w:val="22"/>
          <w:szCs w:val="22"/>
          <w:lang w:val="en-US"/>
        </w:rPr>
        <w:t>, cash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equivalents and other financial investments </w:t>
      </w:r>
      <w:r>
        <w:rPr>
          <w:rFonts w:cstheme="minorHAnsi"/>
          <w:color w:val="243587"/>
          <w:sz w:val="22"/>
          <w:szCs w:val="22"/>
          <w:lang w:val="en-US"/>
        </w:rPr>
        <w:t xml:space="preserve">reached </w:t>
      </w:r>
      <w:r w:rsidRPr="006F6C18">
        <w:rPr>
          <w:rFonts w:cstheme="minorHAnsi"/>
          <w:color w:val="243587"/>
          <w:sz w:val="22"/>
          <w:szCs w:val="22"/>
          <w:lang w:val="en-US"/>
        </w:rPr>
        <w:t>€</w:t>
      </w:r>
      <w:r>
        <w:rPr>
          <w:rFonts w:cstheme="minorHAnsi"/>
          <w:color w:val="243587"/>
          <w:sz w:val="22"/>
          <w:szCs w:val="22"/>
          <w:lang w:val="en-US"/>
        </w:rPr>
        <w:t>72</w:t>
      </w:r>
      <w:r w:rsidR="0008488C">
        <w:rPr>
          <w:rFonts w:cstheme="minorHAnsi"/>
          <w:color w:val="243587"/>
          <w:sz w:val="22"/>
          <w:szCs w:val="22"/>
          <w:lang w:val="en-US"/>
        </w:rPr>
        <w:t>9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mil</w:t>
      </w:r>
      <w:r>
        <w:rPr>
          <w:rFonts w:cstheme="minorHAnsi"/>
          <w:color w:val="243587"/>
          <w:sz w:val="22"/>
          <w:szCs w:val="22"/>
          <w:lang w:val="en-US"/>
        </w:rPr>
        <w:t>.</w:t>
      </w:r>
      <w:r w:rsidRPr="00AB1FFB">
        <w:rPr>
          <w:rFonts w:cstheme="minorHAnsi"/>
          <w:color w:val="243587"/>
          <w:sz w:val="22"/>
          <w:szCs w:val="22"/>
          <w:vertAlign w:val="superscript"/>
          <w:lang w:val="en-US"/>
        </w:rPr>
        <w:footnoteReference w:id="1"/>
      </w:r>
      <w:r>
        <w:rPr>
          <w:rFonts w:cstheme="minorHAnsi"/>
          <w:color w:val="243587"/>
          <w:sz w:val="22"/>
          <w:szCs w:val="22"/>
          <w:lang w:val="en-US"/>
        </w:rPr>
        <w:t>,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571318">
        <w:rPr>
          <w:rFonts w:cstheme="minorHAnsi"/>
          <w:color w:val="243587"/>
          <w:sz w:val="22"/>
          <w:szCs w:val="22"/>
          <w:lang w:val="en-US"/>
        </w:rPr>
        <w:t xml:space="preserve">including </w:t>
      </w:r>
      <w:r>
        <w:rPr>
          <w:rFonts w:cstheme="minorHAnsi"/>
          <w:color w:val="243587"/>
          <w:sz w:val="22"/>
          <w:szCs w:val="22"/>
          <w:lang w:val="en-US"/>
        </w:rPr>
        <w:t xml:space="preserve">the </w:t>
      </w:r>
      <w:r w:rsidR="00571318">
        <w:rPr>
          <w:rFonts w:cstheme="minorHAnsi"/>
          <w:color w:val="243587"/>
          <w:sz w:val="22"/>
          <w:szCs w:val="22"/>
          <w:lang w:val="en-US"/>
        </w:rPr>
        <w:t>outflow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 of </w:t>
      </w:r>
      <w:r w:rsidR="00913D87" w:rsidRPr="006F6C18">
        <w:rPr>
          <w:rFonts w:cstheme="minorHAnsi"/>
          <w:color w:val="243587"/>
          <w:sz w:val="22"/>
          <w:szCs w:val="22"/>
          <w:lang w:val="en-US"/>
        </w:rPr>
        <w:t>€8</w:t>
      </w:r>
      <w:r w:rsidR="00913D87">
        <w:rPr>
          <w:rFonts w:cstheme="minorHAnsi"/>
          <w:color w:val="243587"/>
          <w:sz w:val="22"/>
          <w:szCs w:val="22"/>
          <w:lang w:val="en-US"/>
        </w:rPr>
        <w:t>5,4</w:t>
      </w:r>
      <w:r w:rsidR="00913D87" w:rsidRPr="006F6C18">
        <w:rPr>
          <w:rFonts w:cstheme="minorHAnsi"/>
          <w:color w:val="243587"/>
          <w:sz w:val="22"/>
          <w:szCs w:val="22"/>
          <w:lang w:val="en-US"/>
        </w:rPr>
        <w:t xml:space="preserve"> mil</w:t>
      </w:r>
      <w:r w:rsidR="00571318">
        <w:rPr>
          <w:rFonts w:cstheme="minorHAnsi"/>
          <w:color w:val="243587"/>
          <w:sz w:val="22"/>
          <w:szCs w:val="22"/>
          <w:lang w:val="en-US"/>
        </w:rPr>
        <w:t>.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 for the </w:t>
      </w:r>
      <w:r>
        <w:rPr>
          <w:rFonts w:cstheme="minorHAnsi"/>
          <w:color w:val="243587"/>
          <w:sz w:val="22"/>
          <w:szCs w:val="22"/>
          <w:lang w:val="en-US"/>
        </w:rPr>
        <w:t>buyback</w:t>
      </w:r>
      <w:r w:rsidRPr="006F6C18">
        <w:rPr>
          <w:rFonts w:cstheme="minorHAnsi"/>
          <w:color w:val="243587"/>
          <w:sz w:val="22"/>
          <w:szCs w:val="22"/>
          <w:lang w:val="en-US"/>
        </w:rPr>
        <w:t xml:space="preserve"> of </w:t>
      </w:r>
      <w:r w:rsidR="00913D87">
        <w:rPr>
          <w:rFonts w:cstheme="minorHAnsi"/>
          <w:color w:val="243587"/>
          <w:sz w:val="22"/>
          <w:szCs w:val="22"/>
          <w:lang w:val="en-US"/>
        </w:rPr>
        <w:t xml:space="preserve">warrants on </w:t>
      </w:r>
      <w:r w:rsidR="00A866A9" w:rsidRPr="004B721F">
        <w:rPr>
          <w:rFonts w:cstheme="minorHAnsi"/>
          <w:color w:val="243587"/>
          <w:sz w:val="22"/>
          <w:szCs w:val="22"/>
          <w:lang w:val="en-US"/>
        </w:rPr>
        <w:t>0</w:t>
      </w:r>
      <w:r w:rsidR="00913D87">
        <w:rPr>
          <w:rFonts w:cstheme="minorHAnsi"/>
          <w:color w:val="243587"/>
          <w:sz w:val="22"/>
          <w:szCs w:val="22"/>
          <w:lang w:val="en-US"/>
        </w:rPr>
        <w:t>2</w:t>
      </w:r>
      <w:r w:rsidR="00571318">
        <w:rPr>
          <w:rFonts w:cstheme="minorHAnsi"/>
          <w:color w:val="243587"/>
          <w:sz w:val="22"/>
          <w:szCs w:val="22"/>
          <w:lang w:val="en-US"/>
        </w:rPr>
        <w:t>.</w:t>
      </w:r>
      <w:r w:rsidR="00A866A9" w:rsidRPr="004B721F">
        <w:rPr>
          <w:rFonts w:cstheme="minorHAnsi"/>
          <w:color w:val="243587"/>
          <w:sz w:val="22"/>
          <w:szCs w:val="22"/>
          <w:lang w:val="en-US"/>
        </w:rPr>
        <w:t>0</w:t>
      </w:r>
      <w:r w:rsidR="00913D87">
        <w:rPr>
          <w:rFonts w:cstheme="minorHAnsi"/>
          <w:color w:val="243587"/>
          <w:sz w:val="22"/>
          <w:szCs w:val="22"/>
          <w:lang w:val="en-US"/>
        </w:rPr>
        <w:t>1</w:t>
      </w:r>
      <w:r w:rsidR="00571318">
        <w:rPr>
          <w:rFonts w:cstheme="minorHAnsi"/>
          <w:color w:val="243587"/>
          <w:sz w:val="22"/>
          <w:szCs w:val="22"/>
          <w:lang w:val="en-US"/>
        </w:rPr>
        <w:t>.</w:t>
      </w:r>
      <w:r w:rsidR="00913D87">
        <w:rPr>
          <w:rFonts w:cstheme="minorHAnsi"/>
          <w:color w:val="243587"/>
          <w:sz w:val="22"/>
          <w:szCs w:val="22"/>
          <w:lang w:val="en-US"/>
        </w:rPr>
        <w:t>2024.</w:t>
      </w:r>
    </w:p>
    <w:p w14:paraId="48D3DA0D" w14:textId="77777777" w:rsidR="002E61CA" w:rsidRDefault="002E61CA" w:rsidP="005E4F53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b/>
          <w:bCs/>
          <w:color w:val="002677"/>
          <w:sz w:val="22"/>
          <w:szCs w:val="22"/>
        </w:rPr>
      </w:pPr>
      <w:bookmarkStart w:id="0" w:name="_Hlk89266437"/>
    </w:p>
    <w:p w14:paraId="43CED06C" w14:textId="5E42EEE6" w:rsidR="005E4F53" w:rsidRPr="00716973" w:rsidRDefault="005E4F53" w:rsidP="005E4F53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716973">
        <w:rPr>
          <w:rFonts w:cstheme="minorHAnsi"/>
          <w:b/>
          <w:bCs/>
          <w:color w:val="002677"/>
          <w:sz w:val="22"/>
          <w:szCs w:val="22"/>
        </w:rPr>
        <w:t>Mr. Dimitris Gerogiannis, AEGEAN’s CEO, commented:</w:t>
      </w:r>
    </w:p>
    <w:p w14:paraId="4613AFE3" w14:textId="75F378FE" w:rsidR="005616AA" w:rsidRPr="00AB1FFB" w:rsidRDefault="005E4F53" w:rsidP="00AB1FF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AB1FFB">
        <w:rPr>
          <w:rFonts w:cstheme="minorHAnsi"/>
          <w:color w:val="243587"/>
          <w:sz w:val="22"/>
          <w:szCs w:val="22"/>
          <w:lang w:val="en-US"/>
        </w:rPr>
        <w:t>“</w:t>
      </w:r>
      <w:r w:rsidR="00C718CE" w:rsidRPr="00AB1FFB">
        <w:rPr>
          <w:rFonts w:cstheme="minorHAnsi"/>
          <w:color w:val="243587"/>
          <w:sz w:val="22"/>
          <w:szCs w:val="22"/>
          <w:lang w:val="en-US"/>
        </w:rPr>
        <w:t xml:space="preserve">AEGEAN’s 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>effort</w:t>
      </w:r>
      <w:r w:rsidR="00C718CE" w:rsidRPr="00AB1FFB">
        <w:rPr>
          <w:rFonts w:cstheme="minorHAnsi"/>
          <w:color w:val="243587"/>
          <w:sz w:val="22"/>
          <w:szCs w:val="22"/>
          <w:lang w:val="en-US"/>
        </w:rPr>
        <w:t xml:space="preserve"> to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soften the 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 xml:space="preserve">seasonality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impact 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 xml:space="preserve">is visible in its international network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capacity investment 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>as well as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in the 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revenue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and passengers’ 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>growth.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>Once more in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>the seasonally weakest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 quarter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, 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>AEGEAN delivered higher EBITDA profitability, demonstrating its resilien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>ce</w:t>
      </w:r>
      <w:r w:rsidR="005616AA" w:rsidRPr="00AB1FFB">
        <w:rPr>
          <w:rFonts w:cstheme="minorHAnsi"/>
          <w:color w:val="243587"/>
          <w:sz w:val="22"/>
          <w:szCs w:val="22"/>
          <w:lang w:val="en-US"/>
        </w:rPr>
        <w:t xml:space="preserve">, its adaptability and its competitive cost structure. </w:t>
      </w:r>
    </w:p>
    <w:p w14:paraId="39B5FD1D" w14:textId="2B06B462" w:rsidR="005616AA" w:rsidRPr="00AB1FFB" w:rsidRDefault="003B7F8E" w:rsidP="00AB1FF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AB1FFB">
        <w:rPr>
          <w:rFonts w:cstheme="minorHAnsi"/>
          <w:color w:val="243587"/>
          <w:sz w:val="22"/>
          <w:szCs w:val="22"/>
          <w:lang w:val="en-US"/>
        </w:rPr>
        <w:t xml:space="preserve">We are 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 xml:space="preserve">prepared </w:t>
      </w:r>
      <w:r w:rsidRPr="00AB1FFB">
        <w:rPr>
          <w:rFonts w:cstheme="minorHAnsi"/>
          <w:color w:val="243587"/>
          <w:sz w:val="22"/>
          <w:szCs w:val="22"/>
          <w:lang w:val="en-US"/>
        </w:rPr>
        <w:t>for a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>nother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strong 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summer season, expanding routes and adding frequencies focusing on our growth out of Athens and Thessaloniki bases.  We are working to broaden the options and services offered and </w:t>
      </w:r>
      <w:r w:rsidR="008F250A" w:rsidRPr="00AB1FFB">
        <w:rPr>
          <w:rFonts w:cstheme="minorHAnsi"/>
          <w:color w:val="243587"/>
          <w:sz w:val="22"/>
          <w:szCs w:val="22"/>
          <w:lang w:val="en-US"/>
        </w:rPr>
        <w:t xml:space="preserve">constantly </w:t>
      </w:r>
      <w:r w:rsidRPr="00AB1FFB">
        <w:rPr>
          <w:rFonts w:cstheme="minorHAnsi"/>
          <w:color w:val="243587"/>
          <w:sz w:val="22"/>
          <w:szCs w:val="22"/>
          <w:lang w:val="en-US"/>
        </w:rPr>
        <w:t>improve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 the</w:t>
      </w:r>
      <w:r w:rsidR="008F250A" w:rsidRPr="00AB1FFB">
        <w:rPr>
          <w:rFonts w:cstheme="minorHAnsi"/>
          <w:color w:val="243587"/>
          <w:sz w:val="22"/>
          <w:szCs w:val="22"/>
          <w:lang w:val="en-US"/>
        </w:rPr>
        <w:t xml:space="preserve"> travel experience. </w:t>
      </w:r>
    </w:p>
    <w:p w14:paraId="01ABA5A4" w14:textId="73853B01" w:rsidR="008F250A" w:rsidRPr="00AB1FFB" w:rsidRDefault="008F250A" w:rsidP="00AB1FF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AB1FFB">
        <w:rPr>
          <w:rFonts w:cstheme="minorHAnsi"/>
          <w:color w:val="243587"/>
          <w:sz w:val="22"/>
          <w:szCs w:val="22"/>
          <w:lang w:val="en-US"/>
        </w:rPr>
        <w:t>We continue to see strong demand for the summer period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. 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>Nevertheless, it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913D87" w:rsidRPr="00AB1FFB">
        <w:rPr>
          <w:rFonts w:cstheme="minorHAnsi"/>
          <w:color w:val="243587"/>
          <w:sz w:val="22"/>
          <w:szCs w:val="22"/>
          <w:lang w:val="en-US"/>
        </w:rPr>
        <w:t>is still too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 early to </w:t>
      </w:r>
      <w:r w:rsidR="00E0269A" w:rsidRPr="00AB1FFB">
        <w:rPr>
          <w:rFonts w:cstheme="minorHAnsi"/>
          <w:color w:val="243587"/>
          <w:sz w:val="22"/>
          <w:szCs w:val="22"/>
          <w:lang w:val="en-US"/>
        </w:rPr>
        <w:t>estimate</w:t>
      </w:r>
      <w:r w:rsidR="004D4E1D" w:rsidRPr="00AB1FFB">
        <w:rPr>
          <w:rFonts w:cstheme="minorHAnsi"/>
          <w:color w:val="243587"/>
          <w:sz w:val="22"/>
          <w:szCs w:val="22"/>
          <w:lang w:val="en-US"/>
        </w:rPr>
        <w:t xml:space="preserve"> the overall outcome of the summer season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which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>typically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shapes </w:t>
      </w:r>
      <w:r w:rsidR="00E0269A" w:rsidRPr="00AB1FFB">
        <w:rPr>
          <w:rFonts w:cstheme="minorHAnsi"/>
          <w:color w:val="243587"/>
          <w:sz w:val="22"/>
          <w:szCs w:val="22"/>
          <w:lang w:val="en-US"/>
        </w:rPr>
        <w:t xml:space="preserve">our </w:t>
      </w:r>
      <w:r w:rsidRPr="00AB1FFB">
        <w:rPr>
          <w:rFonts w:cstheme="minorHAnsi"/>
          <w:color w:val="243587"/>
          <w:sz w:val="22"/>
          <w:szCs w:val="22"/>
          <w:lang w:val="en-US"/>
        </w:rPr>
        <w:t>results.</w:t>
      </w:r>
    </w:p>
    <w:p w14:paraId="05919D1D" w14:textId="69A93AC5" w:rsidR="00A75FDD" w:rsidRPr="00AB1FFB" w:rsidRDefault="008F250A" w:rsidP="00AB1FFB">
      <w:pPr>
        <w:tabs>
          <w:tab w:val="left" w:pos="9498"/>
        </w:tabs>
        <w:spacing w:after="240" w:line="276" w:lineRule="auto"/>
        <w:ind w:right="-8"/>
        <w:jc w:val="both"/>
        <w:rPr>
          <w:rFonts w:cstheme="minorHAnsi"/>
          <w:color w:val="243587"/>
          <w:sz w:val="22"/>
          <w:szCs w:val="22"/>
          <w:lang w:val="en-US"/>
        </w:rPr>
      </w:pPr>
      <w:r w:rsidRPr="00AB1FFB">
        <w:rPr>
          <w:rFonts w:cstheme="minorHAnsi"/>
          <w:color w:val="243587"/>
          <w:sz w:val="22"/>
          <w:szCs w:val="22"/>
          <w:lang w:val="en-US"/>
        </w:rPr>
        <w:t xml:space="preserve">At the same time, it is very encouraging that the effort to develop 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>our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</w:t>
      </w:r>
      <w:r w:rsidR="00E0269A" w:rsidRPr="00AB1FFB">
        <w:rPr>
          <w:rFonts w:cstheme="minorHAnsi"/>
          <w:color w:val="243587"/>
          <w:sz w:val="22"/>
          <w:szCs w:val="22"/>
          <w:lang w:val="en-US"/>
        </w:rPr>
        <w:t>MRO business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as well as the Flight Simulator and Crew Training Centre is maturing. Within 12 months the building renovation and upgrade </w:t>
      </w:r>
      <w:r w:rsidR="00E0269A" w:rsidRPr="00AB1FFB">
        <w:rPr>
          <w:rFonts w:cstheme="minorHAnsi"/>
          <w:color w:val="243587"/>
          <w:sz w:val="22"/>
          <w:szCs w:val="22"/>
          <w:lang w:val="en-US"/>
        </w:rPr>
        <w:t>is complete</w:t>
      </w:r>
      <w:r w:rsidRPr="00AB1FFB">
        <w:rPr>
          <w:rFonts w:cstheme="minorHAnsi"/>
          <w:color w:val="243587"/>
          <w:sz w:val="22"/>
          <w:szCs w:val="22"/>
          <w:lang w:val="en-US"/>
        </w:rPr>
        <w:t>, and the first 4 simulators are already operation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>al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 covering both AEGEAN’s and third parties</w:t>
      </w:r>
      <w:r w:rsidR="00A927F8" w:rsidRPr="004F3ABD">
        <w:rPr>
          <w:rFonts w:cstheme="minorHAnsi"/>
          <w:color w:val="243587"/>
          <w:sz w:val="22"/>
          <w:szCs w:val="22"/>
          <w:lang w:val="en-US"/>
        </w:rPr>
        <w:t>’</w:t>
      </w:r>
      <w:r w:rsidR="00DE6736" w:rsidRPr="00AB1FFB">
        <w:rPr>
          <w:rFonts w:cstheme="minorHAnsi"/>
          <w:color w:val="243587"/>
          <w:sz w:val="22"/>
          <w:szCs w:val="22"/>
          <w:lang w:val="en-US"/>
        </w:rPr>
        <w:t xml:space="preserve"> training needs</w:t>
      </w:r>
      <w:r w:rsidRPr="00AB1FFB">
        <w:rPr>
          <w:rFonts w:cstheme="minorHAnsi"/>
          <w:color w:val="243587"/>
          <w:sz w:val="22"/>
          <w:szCs w:val="22"/>
          <w:lang w:val="en-US"/>
        </w:rPr>
        <w:t xml:space="preserve">. The Group has also started to provide heavy maintenance services to </w:t>
      </w:r>
      <w:r w:rsidR="00C9286A" w:rsidRPr="00AB1FFB">
        <w:rPr>
          <w:rFonts w:cstheme="minorHAnsi"/>
          <w:color w:val="243587"/>
          <w:sz w:val="22"/>
          <w:szCs w:val="22"/>
          <w:lang w:val="en-US"/>
        </w:rPr>
        <w:t>t</w:t>
      </w:r>
      <w:r w:rsidRPr="00AB1FFB">
        <w:rPr>
          <w:rFonts w:cstheme="minorHAnsi"/>
          <w:color w:val="243587"/>
          <w:sz w:val="22"/>
          <w:szCs w:val="22"/>
          <w:lang w:val="en-US"/>
        </w:rPr>
        <w:t>hird party customers</w:t>
      </w:r>
      <w:r w:rsidR="00A75FDD" w:rsidRPr="00AB1FFB">
        <w:rPr>
          <w:rFonts w:cstheme="minorHAnsi"/>
          <w:color w:val="243587"/>
          <w:sz w:val="22"/>
          <w:szCs w:val="22"/>
          <w:lang w:val="en-US"/>
        </w:rPr>
        <w:t>”</w:t>
      </w:r>
      <w:r w:rsidRPr="00AB1FFB">
        <w:rPr>
          <w:rFonts w:cstheme="minorHAnsi"/>
          <w:color w:val="243587"/>
          <w:sz w:val="22"/>
          <w:szCs w:val="22"/>
          <w:lang w:val="en-US"/>
        </w:rPr>
        <w:t>.</w:t>
      </w:r>
    </w:p>
    <w:p w14:paraId="4781D8CE" w14:textId="669EA816" w:rsidR="0005049B" w:rsidRPr="002E61CA" w:rsidRDefault="0005049B" w:rsidP="00913D87">
      <w:pPr>
        <w:pStyle w:val="AegeanNormal"/>
        <w:rPr>
          <w:lang w:val="en-US"/>
        </w:rPr>
      </w:pPr>
    </w:p>
    <w:bookmarkEnd w:id="0"/>
    <w:p w14:paraId="3D4651EA" w14:textId="77777777" w:rsidR="008F250A" w:rsidRDefault="008F250A" w:rsidP="00913D87">
      <w:pPr>
        <w:pStyle w:val="AegeanNormal"/>
        <w:rPr>
          <w:lang w:val="en-US"/>
        </w:rPr>
      </w:pPr>
    </w:p>
    <w:p w14:paraId="016624B5" w14:textId="77777777" w:rsidR="002E61CA" w:rsidRDefault="002E61CA" w:rsidP="00913D87">
      <w:pPr>
        <w:pStyle w:val="AegeanNormal"/>
        <w:rPr>
          <w:lang w:val="en-US"/>
        </w:rPr>
      </w:pPr>
    </w:p>
    <w:p w14:paraId="41B39C71" w14:textId="77777777" w:rsidR="002E61CA" w:rsidRDefault="002E61CA" w:rsidP="00913D87">
      <w:pPr>
        <w:pStyle w:val="AegeanNormal"/>
        <w:rPr>
          <w:lang w:val="en-US"/>
        </w:rPr>
      </w:pPr>
    </w:p>
    <w:p w14:paraId="72BFF912" w14:textId="77777777" w:rsidR="002E61CA" w:rsidRDefault="002E61CA" w:rsidP="00913D87">
      <w:pPr>
        <w:pStyle w:val="AegeanNormal"/>
        <w:rPr>
          <w:lang w:val="en-US"/>
        </w:rPr>
      </w:pPr>
    </w:p>
    <w:p w14:paraId="5B631D9A" w14:textId="77777777" w:rsidR="002E61CA" w:rsidRDefault="002E61CA" w:rsidP="00913D87">
      <w:pPr>
        <w:pStyle w:val="AegeanNormal"/>
        <w:rPr>
          <w:lang w:val="en-US"/>
        </w:rPr>
      </w:pPr>
    </w:p>
    <w:p w14:paraId="5E195DC0" w14:textId="77777777" w:rsidR="002E61CA" w:rsidRDefault="002E61CA" w:rsidP="00913D87">
      <w:pPr>
        <w:pStyle w:val="AegeanNormal"/>
        <w:rPr>
          <w:lang w:val="en-US"/>
        </w:rPr>
      </w:pPr>
    </w:p>
    <w:p w14:paraId="24F3A017" w14:textId="77777777" w:rsidR="002E61CA" w:rsidRDefault="002E61CA" w:rsidP="00913D87">
      <w:pPr>
        <w:pStyle w:val="AegeanNormal"/>
        <w:rPr>
          <w:lang w:val="en-US"/>
        </w:rPr>
      </w:pPr>
    </w:p>
    <w:p w14:paraId="196EC5D5" w14:textId="77777777" w:rsidR="002E61CA" w:rsidRDefault="002E61CA" w:rsidP="00913D87">
      <w:pPr>
        <w:pStyle w:val="AegeanNormal"/>
        <w:rPr>
          <w:lang w:val="en-US"/>
        </w:rPr>
      </w:pPr>
    </w:p>
    <w:p w14:paraId="57966FD2" w14:textId="77777777" w:rsidR="002E61CA" w:rsidRDefault="002E61CA" w:rsidP="00913D87">
      <w:pPr>
        <w:pStyle w:val="AegeanNormal"/>
        <w:rPr>
          <w:lang w:val="en-US"/>
        </w:rPr>
      </w:pPr>
    </w:p>
    <w:p w14:paraId="34E34F1A" w14:textId="77777777" w:rsidR="002E61CA" w:rsidRDefault="002E61CA" w:rsidP="00913D87">
      <w:pPr>
        <w:pStyle w:val="AegeanNormal"/>
        <w:rPr>
          <w:lang w:val="en-US"/>
        </w:rPr>
      </w:pPr>
    </w:p>
    <w:p w14:paraId="31B2B5F7" w14:textId="77777777" w:rsidR="002E61CA" w:rsidRDefault="002E61CA" w:rsidP="00913D87">
      <w:pPr>
        <w:pStyle w:val="AegeanNormal"/>
        <w:rPr>
          <w:lang w:val="en-US"/>
        </w:rPr>
      </w:pPr>
    </w:p>
    <w:p w14:paraId="61304D88" w14:textId="77777777" w:rsidR="002E61CA" w:rsidRDefault="002E61CA" w:rsidP="00913D87">
      <w:pPr>
        <w:pStyle w:val="AegeanNormal"/>
        <w:rPr>
          <w:lang w:val="en-US"/>
        </w:rPr>
      </w:pPr>
    </w:p>
    <w:p w14:paraId="5150F3CE" w14:textId="77777777" w:rsidR="002E61CA" w:rsidRDefault="002E61CA" w:rsidP="00913D87">
      <w:pPr>
        <w:pStyle w:val="AegeanNormal"/>
        <w:rPr>
          <w:lang w:val="en-US"/>
        </w:rPr>
      </w:pPr>
    </w:p>
    <w:p w14:paraId="62ACE63B" w14:textId="77777777" w:rsidR="002E61CA" w:rsidRPr="002E61CA" w:rsidRDefault="002E61CA" w:rsidP="00913D87">
      <w:pPr>
        <w:pStyle w:val="AegeanNormal"/>
        <w:rPr>
          <w:lang w:val="en-US"/>
        </w:rPr>
      </w:pPr>
    </w:p>
    <w:p w14:paraId="35174179" w14:textId="3B4ABD20" w:rsidR="000D600C" w:rsidRDefault="000D600C" w:rsidP="002E61CA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  <w:lang w:val="en-US"/>
        </w:rPr>
      </w:pPr>
      <w:r w:rsidRPr="002E61CA">
        <w:rPr>
          <w:rFonts w:cstheme="minorHAnsi"/>
          <w:b/>
          <w:bCs/>
          <w:color w:val="002677"/>
          <w:sz w:val="22"/>
          <w:szCs w:val="22"/>
          <w:lang w:val="en-US"/>
        </w:rPr>
        <w:t xml:space="preserve">Financial Results and Operating Metrics </w:t>
      </w:r>
      <w:r w:rsidR="008F7BCD" w:rsidRPr="002E61CA">
        <w:rPr>
          <w:rFonts w:cstheme="minorHAnsi"/>
          <w:b/>
          <w:bCs/>
          <w:color w:val="002677"/>
          <w:sz w:val="22"/>
          <w:szCs w:val="22"/>
          <w:lang w:val="en-US"/>
        </w:rPr>
        <w:t>for the First Quarter of 2024</w:t>
      </w:r>
    </w:p>
    <w:tbl>
      <w:tblPr>
        <w:tblW w:w="10013" w:type="dxa"/>
        <w:tblInd w:w="-5" w:type="dxa"/>
        <w:tblBorders>
          <w:top w:val="single" w:sz="4" w:space="0" w:color="002677"/>
          <w:bottom w:val="single" w:sz="4" w:space="0" w:color="002677"/>
          <w:insideH w:val="single" w:sz="4" w:space="0" w:color="002677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1984"/>
        <w:gridCol w:w="1843"/>
        <w:gridCol w:w="1219"/>
      </w:tblGrid>
      <w:tr w:rsidR="008F7BCD" w:rsidRPr="00B57206" w14:paraId="02BF99B3" w14:textId="77777777" w:rsidTr="007A01B9">
        <w:trPr>
          <w:trHeight w:val="424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  <w:hideMark/>
          </w:tcPr>
          <w:p w14:paraId="5837A169" w14:textId="77777777" w:rsidR="008F7BCD" w:rsidRPr="00B57206" w:rsidRDefault="008F7BCD" w:rsidP="000D600C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(in € mil.)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7FEC3CF9" w14:textId="77777777" w:rsidR="008F7BCD" w:rsidRDefault="008F7BCD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2B1FB279" w14:textId="6DC37F01" w:rsidR="008F7BCD" w:rsidRPr="000C228F" w:rsidRDefault="008F7BCD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12A6BF0A" w14:textId="77777777" w:rsidR="008F7BCD" w:rsidRDefault="008F7BCD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1DF2E0AE" w14:textId="24EC2727" w:rsidR="008F7BCD" w:rsidRPr="000C228F" w:rsidRDefault="008F7BCD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09A24842" w14:textId="77777777" w:rsidR="008F7BCD" w:rsidRPr="00B57206" w:rsidRDefault="008F7BCD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%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change</w:t>
            </w:r>
          </w:p>
        </w:tc>
      </w:tr>
      <w:tr w:rsidR="00E353E6" w:rsidRPr="00B57206" w14:paraId="257B5257" w14:textId="77777777" w:rsidTr="00511CA9">
        <w:trPr>
          <w:trHeight w:val="266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0B781C08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Revenue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19D814A3" w14:textId="6852251E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229,1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119C5E64" w14:textId="30E814B3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268,8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36DDDADD" w14:textId="00E556D2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17%</w:t>
            </w:r>
          </w:p>
        </w:tc>
      </w:tr>
      <w:tr w:rsidR="00E353E6" w:rsidRPr="00B57206" w14:paraId="05D38BE6" w14:textId="77777777" w:rsidTr="00511CA9">
        <w:trPr>
          <w:trHeight w:val="293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0712A8CE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EBITDA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71E2881A" w14:textId="38B5E3E7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6428E">
              <w:rPr>
                <w:rFonts w:cstheme="minorHAnsi"/>
                <w:color w:val="002677"/>
                <w:sz w:val="22"/>
                <w:szCs w:val="22"/>
              </w:rPr>
              <w:t>19,3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1A8C402A" w14:textId="2FC98492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6428E">
              <w:rPr>
                <w:rFonts w:cstheme="minorHAnsi"/>
                <w:color w:val="002677"/>
                <w:sz w:val="22"/>
                <w:szCs w:val="22"/>
              </w:rPr>
              <w:t>33,2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11864255" w14:textId="619CB2E1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6428E">
              <w:rPr>
                <w:rFonts w:cstheme="minorHAnsi"/>
                <w:color w:val="002677"/>
                <w:sz w:val="22"/>
                <w:szCs w:val="22"/>
              </w:rPr>
              <w:t>72%</w:t>
            </w:r>
          </w:p>
        </w:tc>
      </w:tr>
      <w:tr w:rsidR="00E353E6" w:rsidRPr="00B57206" w14:paraId="01F048AE" w14:textId="77777777" w:rsidTr="00511CA9">
        <w:trPr>
          <w:trHeight w:val="314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1FAAA490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  <w:lang w:val="en-US"/>
              </w:rPr>
              <w:t>EBIT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7077F004" w14:textId="0A49BD4C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6428E">
              <w:rPr>
                <w:rFonts w:cstheme="minorHAnsi"/>
                <w:color w:val="002677"/>
                <w:sz w:val="22"/>
                <w:szCs w:val="22"/>
              </w:rPr>
              <w:t>(14,7)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443FC323" w14:textId="0EA0128C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6428E">
              <w:rPr>
                <w:rFonts w:cstheme="minorHAnsi"/>
                <w:color w:val="002677"/>
                <w:sz w:val="22"/>
                <w:szCs w:val="22"/>
              </w:rPr>
              <w:t>(7,2)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5D2DEEF4" w14:textId="2DF42EBF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-</w:t>
            </w:r>
          </w:p>
        </w:tc>
      </w:tr>
      <w:tr w:rsidR="00E353E6" w:rsidRPr="00B57206" w14:paraId="35E903A9" w14:textId="77777777" w:rsidTr="00511CA9">
        <w:trPr>
          <w:trHeight w:val="314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7A20EC36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A47C51">
              <w:rPr>
                <w:rFonts w:cstheme="minorHAnsi"/>
                <w:color w:val="002677"/>
                <w:sz w:val="22"/>
                <w:szCs w:val="22"/>
                <w:lang w:val="en-US"/>
              </w:rPr>
              <w:t xml:space="preserve">Pre-tax Profit/(Loss) 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C12CBE1" w14:textId="4B215464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(18,6)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582455AC" w14:textId="5CB537AD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(26,3)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04F786A6" w14:textId="58C054DF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-</w:t>
            </w:r>
          </w:p>
        </w:tc>
      </w:tr>
      <w:tr w:rsidR="00E353E6" w:rsidRPr="00B57206" w14:paraId="298CB7DC" w14:textId="77777777" w:rsidTr="00511CA9">
        <w:trPr>
          <w:trHeight w:val="204"/>
        </w:trPr>
        <w:tc>
          <w:tcPr>
            <w:tcW w:w="4967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473E3134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A47C51">
              <w:rPr>
                <w:rFonts w:cstheme="minorHAnsi"/>
                <w:color w:val="002677"/>
                <w:sz w:val="22"/>
                <w:szCs w:val="22"/>
                <w:lang w:val="en-US"/>
              </w:rPr>
              <w:t xml:space="preserve">Net Profit/(Loss) </w:t>
            </w:r>
          </w:p>
        </w:tc>
        <w:tc>
          <w:tcPr>
            <w:tcW w:w="1984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37F26451" w14:textId="359DDC64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(14,4)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68FF5BC1" w14:textId="5AAB8753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(21,0)</w:t>
            </w:r>
          </w:p>
        </w:tc>
        <w:tc>
          <w:tcPr>
            <w:tcW w:w="121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76FDD45" w14:textId="3FFDCC8B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-</w:t>
            </w:r>
          </w:p>
        </w:tc>
      </w:tr>
    </w:tbl>
    <w:p w14:paraId="16764D83" w14:textId="77777777" w:rsidR="000D600C" w:rsidRPr="00B57206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53886538" w14:textId="77777777" w:rsidR="000D600C" w:rsidRPr="00B57206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329FEBE3" w14:textId="77777777" w:rsidR="000D600C" w:rsidRPr="00B57206" w:rsidRDefault="000D600C" w:rsidP="000D600C">
      <w:pPr>
        <w:rPr>
          <w:rFonts w:cstheme="minorHAnsi"/>
          <w:sz w:val="22"/>
          <w:szCs w:val="22"/>
          <w:lang w:val="en-US"/>
        </w:rPr>
      </w:pPr>
    </w:p>
    <w:tbl>
      <w:tblPr>
        <w:tblW w:w="10065" w:type="dxa"/>
        <w:tblBorders>
          <w:top w:val="single" w:sz="4" w:space="0" w:color="002677"/>
          <w:bottom w:val="single" w:sz="4" w:space="0" w:color="002677"/>
          <w:insideH w:val="single" w:sz="4" w:space="0" w:color="002677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843"/>
        <w:gridCol w:w="1276"/>
      </w:tblGrid>
      <w:tr w:rsidR="008F7BCD" w:rsidRPr="00B57206" w14:paraId="505AB5D8" w14:textId="77777777" w:rsidTr="007A01B9">
        <w:trPr>
          <w:trHeight w:val="395"/>
        </w:trPr>
        <w:tc>
          <w:tcPr>
            <w:tcW w:w="510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  <w:hideMark/>
          </w:tcPr>
          <w:p w14:paraId="3C293570" w14:textId="77777777" w:rsidR="008F7BCD" w:rsidRPr="00B57206" w:rsidRDefault="008F7BCD" w:rsidP="008F7BCD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01ABFF55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0CC8D69A" w14:textId="3E6EFDED" w:rsidR="008F7BCD" w:rsidRPr="000C228F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618FB898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3E7167A2" w14:textId="61A992AE" w:rsidR="008F7BCD" w:rsidRPr="000C228F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1FA18D0B" w14:textId="11872343" w:rsidR="008F7BCD" w:rsidRPr="00B57206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%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change</w:t>
            </w:r>
          </w:p>
        </w:tc>
      </w:tr>
      <w:tr w:rsidR="00E353E6" w:rsidRPr="00B57206" w14:paraId="705EE00A" w14:textId="77777777" w:rsidTr="00511CA9">
        <w:trPr>
          <w:trHeight w:val="200"/>
        </w:trPr>
        <w:tc>
          <w:tcPr>
            <w:tcW w:w="510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42FEF82F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Total Passengers (‘000)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4A83FF50" w14:textId="6A385477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2.581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44E66A8B" w14:textId="2C4A6CB8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2.85</w:t>
            </w:r>
            <w:r>
              <w:rPr>
                <w:rFonts w:cstheme="minorHAnsi"/>
                <w:color w:val="002677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6921F1A" w14:textId="4234B3D6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11%</w:t>
            </w:r>
          </w:p>
        </w:tc>
      </w:tr>
      <w:tr w:rsidR="00E353E6" w:rsidRPr="00B57206" w14:paraId="47DAF723" w14:textId="77777777" w:rsidTr="00511CA9">
        <w:trPr>
          <w:trHeight w:val="220"/>
        </w:trPr>
        <w:tc>
          <w:tcPr>
            <w:tcW w:w="510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02C5C025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RPKs (in mil.) 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7768FD1E" w14:textId="16344BED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2.715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11C35227" w14:textId="21E5C698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3.056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0D335C17" w14:textId="3AD08BE2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13%</w:t>
            </w:r>
          </w:p>
        </w:tc>
      </w:tr>
      <w:tr w:rsidR="00E353E6" w:rsidRPr="00B57206" w14:paraId="0BF18BF8" w14:textId="77777777" w:rsidTr="00511CA9">
        <w:trPr>
          <w:trHeight w:val="235"/>
        </w:trPr>
        <w:tc>
          <w:tcPr>
            <w:tcW w:w="510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3647E4B7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ASKs</w:t>
            </w:r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>(in mil.)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7F1E02A3" w14:textId="406DF2BA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3.340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3D583654" w14:textId="5529BB81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3.751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7C290BF4" w14:textId="6FF5033F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6449F7">
              <w:rPr>
                <w:rFonts w:cstheme="minorHAnsi"/>
                <w:color w:val="002677"/>
                <w:sz w:val="22"/>
                <w:szCs w:val="22"/>
              </w:rPr>
              <w:t>12%</w:t>
            </w:r>
          </w:p>
        </w:tc>
      </w:tr>
      <w:tr w:rsidR="00E353E6" w:rsidRPr="00B57206" w14:paraId="1CC45655" w14:textId="77777777" w:rsidTr="00511CA9">
        <w:trPr>
          <w:trHeight w:val="271"/>
        </w:trPr>
        <w:tc>
          <w:tcPr>
            <w:tcW w:w="510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4C9356A6" w14:textId="06D102FF" w:rsidR="00E353E6" w:rsidRPr="00C2708E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71551B">
              <w:rPr>
                <w:rFonts w:cstheme="minorHAnsi"/>
                <w:color w:val="002677"/>
                <w:sz w:val="22"/>
                <w:szCs w:val="22"/>
              </w:rPr>
              <w:t>Load factor - Scheduled services (RPK/ASK)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4B7008ED" w14:textId="4EB62A8D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81,6%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24135825" w14:textId="21030860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81,7%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15295A70" w14:textId="1C9AD08C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D066DB">
              <w:rPr>
                <w:rFonts w:cstheme="minorHAnsi"/>
                <w:color w:val="002677"/>
                <w:sz w:val="22"/>
                <w:szCs w:val="22"/>
              </w:rPr>
              <w:t>0,1pp</w:t>
            </w:r>
          </w:p>
        </w:tc>
      </w:tr>
    </w:tbl>
    <w:p w14:paraId="3330AC1C" w14:textId="77777777" w:rsidR="000D600C" w:rsidRPr="00B57206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6D476E9C" w14:textId="77777777" w:rsidR="000D600C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686B389A" w14:textId="77777777" w:rsidR="000D600C" w:rsidRPr="00B57206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3B42E6CB" w14:textId="2E9934E8" w:rsidR="000D600C" w:rsidRDefault="008F7BCD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  <w:lang w:val="en-US"/>
        </w:rPr>
      </w:pPr>
      <w:bookmarkStart w:id="1" w:name="_Hlk129694994"/>
      <w:r>
        <w:rPr>
          <w:rFonts w:cstheme="minorHAnsi"/>
          <w:b/>
          <w:bCs/>
          <w:color w:val="243587"/>
          <w:sz w:val="22"/>
          <w:szCs w:val="22"/>
          <w:lang w:val="en-US"/>
        </w:rPr>
        <w:t xml:space="preserve">Key </w:t>
      </w:r>
      <w:r w:rsidRPr="008F7BCD">
        <w:rPr>
          <w:rFonts w:cstheme="minorHAnsi"/>
          <w:b/>
          <w:bCs/>
          <w:color w:val="243587"/>
          <w:sz w:val="22"/>
          <w:szCs w:val="22"/>
          <w:lang w:val="en-US"/>
        </w:rPr>
        <w:t>financial and operating metrics of Q1-2</w:t>
      </w:r>
      <w:r>
        <w:rPr>
          <w:rFonts w:cstheme="minorHAnsi"/>
          <w:b/>
          <w:bCs/>
          <w:color w:val="243587"/>
          <w:sz w:val="22"/>
          <w:szCs w:val="22"/>
          <w:lang w:val="en-US"/>
        </w:rPr>
        <w:t>3</w:t>
      </w:r>
      <w:r w:rsidRPr="008F7BCD">
        <w:rPr>
          <w:rFonts w:cstheme="minorHAnsi"/>
          <w:b/>
          <w:bCs/>
          <w:color w:val="243587"/>
          <w:sz w:val="22"/>
          <w:szCs w:val="22"/>
          <w:lang w:val="en-US"/>
        </w:rPr>
        <w:t xml:space="preserve"> and Q1-2</w:t>
      </w:r>
      <w:r>
        <w:rPr>
          <w:rFonts w:cstheme="minorHAnsi"/>
          <w:b/>
          <w:bCs/>
          <w:color w:val="243587"/>
          <w:sz w:val="22"/>
          <w:szCs w:val="22"/>
          <w:lang w:val="en-US"/>
        </w:rPr>
        <w:t>4</w:t>
      </w:r>
      <w:r w:rsidRPr="008F7BCD">
        <w:rPr>
          <w:rFonts w:cstheme="minorHAnsi"/>
          <w:b/>
          <w:bCs/>
          <w:color w:val="243587"/>
          <w:sz w:val="22"/>
          <w:szCs w:val="22"/>
          <w:lang w:val="en-US"/>
        </w:rPr>
        <w:t xml:space="preserve"> as a percentage of the results for the corresponding period of 2019</w:t>
      </w:r>
    </w:p>
    <w:tbl>
      <w:tblPr>
        <w:tblW w:w="10133" w:type="dxa"/>
        <w:tblBorders>
          <w:top w:val="single" w:sz="4" w:space="0" w:color="002677"/>
          <w:bottom w:val="single" w:sz="4" w:space="0" w:color="002677"/>
          <w:insideH w:val="single" w:sz="4" w:space="0" w:color="002677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701"/>
        <w:gridCol w:w="1628"/>
      </w:tblGrid>
      <w:tr w:rsidR="000D600C" w14:paraId="6E26F7BD" w14:textId="77777777" w:rsidTr="009B0802">
        <w:trPr>
          <w:trHeight w:val="6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bottom"/>
            <w:hideMark/>
          </w:tcPr>
          <w:p w14:paraId="109CC61A" w14:textId="77777777" w:rsidR="000D600C" w:rsidRPr="00837318" w:rsidRDefault="000D600C" w:rsidP="000D600C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bottom"/>
            <w:hideMark/>
          </w:tcPr>
          <w:p w14:paraId="69688A71" w14:textId="77777777" w:rsidR="000D600C" w:rsidRPr="00961847" w:rsidRDefault="000D600C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 w:rsidRPr="00837318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20</w:t>
            </w: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bottom"/>
            <w:hideMark/>
          </w:tcPr>
          <w:p w14:paraId="6A93F753" w14:textId="3C1A720D" w:rsidR="000D600C" w:rsidRDefault="000D600C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202</w:t>
            </w:r>
            <w:r w:rsidR="008F7BCD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3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bottom"/>
            <w:hideMark/>
          </w:tcPr>
          <w:p w14:paraId="49842908" w14:textId="657BD235" w:rsidR="000D600C" w:rsidRDefault="000D600C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>202</w:t>
            </w:r>
            <w:r w:rsidR="008F7BCD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4</w:t>
            </w:r>
          </w:p>
        </w:tc>
      </w:tr>
      <w:tr w:rsidR="00E353E6" w14:paraId="66518FBF" w14:textId="77777777" w:rsidTr="009B0802">
        <w:trPr>
          <w:trHeight w:val="9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  <w:hideMark/>
          </w:tcPr>
          <w:p w14:paraId="67FAF3B6" w14:textId="77777777" w:rsidR="00E353E6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2B73E2">
              <w:rPr>
                <w:rFonts w:cstheme="minorHAnsi"/>
                <w:color w:val="243587"/>
                <w:sz w:val="22"/>
                <w:szCs w:val="22"/>
              </w:rPr>
              <w:t>ASK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s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2164763E" w14:textId="379AB04D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618FC4C" w14:textId="3A2D31A1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00193B">
              <w:rPr>
                <w:rFonts w:cstheme="minorHAnsi"/>
                <w:color w:val="002677"/>
                <w:sz w:val="22"/>
                <w:szCs w:val="22"/>
              </w:rPr>
              <w:t>111%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2793A5EF" w14:textId="0C89677F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00193B">
              <w:rPr>
                <w:rFonts w:cstheme="minorHAnsi"/>
                <w:color w:val="002677"/>
                <w:sz w:val="22"/>
                <w:szCs w:val="22"/>
              </w:rPr>
              <w:t>124%</w:t>
            </w:r>
          </w:p>
        </w:tc>
      </w:tr>
      <w:tr w:rsidR="00E353E6" w14:paraId="05425B44" w14:textId="77777777" w:rsidTr="009B0802">
        <w:trPr>
          <w:trHeight w:val="164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  <w:hideMark/>
          </w:tcPr>
          <w:p w14:paraId="62048EFE" w14:textId="77777777" w:rsidR="00E353E6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l-GR"/>
              </w:rPr>
            </w:pPr>
            <w:r w:rsidRPr="008C74A9">
              <w:rPr>
                <w:rFonts w:cstheme="minorHAnsi"/>
                <w:color w:val="243587"/>
                <w:sz w:val="22"/>
                <w:szCs w:val="22"/>
                <w:lang w:val="en-US"/>
              </w:rPr>
              <w:t>Revenue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63EE82BC" w14:textId="4C857047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01A45AE" w14:textId="175475AA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00193B">
              <w:rPr>
                <w:rFonts w:cstheme="minorHAnsi"/>
                <w:color w:val="002677"/>
                <w:sz w:val="22"/>
                <w:szCs w:val="22"/>
              </w:rPr>
              <w:t>133%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1AF006D2" w14:textId="1BC5A947" w:rsidR="00E353E6" w:rsidRPr="00342110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00193B">
              <w:rPr>
                <w:rFonts w:cstheme="minorHAnsi"/>
                <w:color w:val="002677"/>
                <w:sz w:val="22"/>
                <w:szCs w:val="22"/>
              </w:rPr>
              <w:t>156%</w:t>
            </w:r>
          </w:p>
        </w:tc>
      </w:tr>
      <w:tr w:rsidR="00E353E6" w14:paraId="7EAAA597" w14:textId="77777777" w:rsidTr="009B0802">
        <w:trPr>
          <w:trHeight w:val="9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5092A95D" w14:textId="77777777" w:rsidR="00E353E6" w:rsidRPr="00C2708E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57840AF" w14:textId="77777777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115642A2" w14:textId="77777777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3546F826" w14:textId="77777777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</w:p>
        </w:tc>
      </w:tr>
      <w:tr w:rsidR="00E353E6" w14:paraId="60716FFE" w14:textId="77777777" w:rsidTr="00511CA9">
        <w:trPr>
          <w:trHeight w:val="9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6C702B94" w14:textId="19438A6A" w:rsidR="00E353E6" w:rsidRPr="00C2708E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RASK 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644B8E4" w14:textId="3FB9CEFA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3575BA80" w14:textId="5A184C28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  <w:lang w:val="el-GR"/>
              </w:rPr>
              <w:t>120%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008098C5" w14:textId="1D363D91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  <w:lang w:val="el-GR"/>
              </w:rPr>
              <w:t>126%</w:t>
            </w:r>
          </w:p>
        </w:tc>
      </w:tr>
      <w:tr w:rsidR="00E353E6" w14:paraId="78D8B8C1" w14:textId="77777777" w:rsidTr="00511CA9">
        <w:trPr>
          <w:trHeight w:val="9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951D637" w14:textId="4F21B416" w:rsidR="00E353E6" w:rsidRPr="00C2708E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CASK</w:t>
            </w:r>
            <w:r w:rsidRPr="003A6F76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 (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EB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I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T</w:t>
            </w:r>
            <w:r w:rsidRPr="003A6F76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 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level</w:t>
            </w:r>
            <w:r w:rsidRPr="003A6F76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3393E794" w14:textId="1316E75B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4C27EC4F" w14:textId="1DD71598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103%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32A180D8" w14:textId="22921EC8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103%</w:t>
            </w:r>
          </w:p>
        </w:tc>
      </w:tr>
      <w:tr w:rsidR="00E353E6" w:rsidRPr="00C2708E" w14:paraId="64EA3996" w14:textId="77777777" w:rsidTr="00511CA9">
        <w:trPr>
          <w:trHeight w:val="98"/>
        </w:trPr>
        <w:tc>
          <w:tcPr>
            <w:tcW w:w="5245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5DB40349" w14:textId="39646A7C" w:rsidR="00E353E6" w:rsidRPr="00C2708E" w:rsidRDefault="00E353E6" w:rsidP="00E353E6">
            <w:pPr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CASK</w:t>
            </w:r>
            <w:r w:rsidRPr="00C2708E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 (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EB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I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T</w:t>
            </w:r>
            <w:r w:rsidRPr="00C2708E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 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level</w:t>
            </w:r>
            <w:r w:rsidRPr="00C2708E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 xml:space="preserve">) – 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excl. fuel costs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  <w:hideMark/>
          </w:tcPr>
          <w:p w14:paraId="5DEF0194" w14:textId="37CB9F13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351C607C" w14:textId="062A671E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AD39BE">
              <w:rPr>
                <w:rFonts w:cstheme="minorHAnsi"/>
                <w:color w:val="002677"/>
                <w:sz w:val="22"/>
                <w:szCs w:val="22"/>
              </w:rPr>
              <w:t>96%</w:t>
            </w:r>
          </w:p>
        </w:tc>
        <w:tc>
          <w:tcPr>
            <w:tcW w:w="1628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1CAE4719" w14:textId="7ABD8D52" w:rsidR="00E353E6" w:rsidRPr="00C2708E" w:rsidRDefault="00E353E6" w:rsidP="00E353E6">
            <w:pPr>
              <w:jc w:val="center"/>
              <w:rPr>
                <w:rFonts w:cstheme="minorHAnsi"/>
                <w:color w:val="243587"/>
                <w:sz w:val="22"/>
                <w:szCs w:val="22"/>
                <w:lang w:val="en-US"/>
              </w:rPr>
            </w:pPr>
            <w:r w:rsidRPr="00AD39BE">
              <w:rPr>
                <w:rFonts w:cstheme="minorHAnsi"/>
                <w:color w:val="002677"/>
                <w:sz w:val="22"/>
                <w:szCs w:val="22"/>
              </w:rPr>
              <w:t>98%</w:t>
            </w:r>
          </w:p>
        </w:tc>
      </w:tr>
    </w:tbl>
    <w:p w14:paraId="08B00F7B" w14:textId="77777777" w:rsidR="000D600C" w:rsidRPr="00C2708E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  <w:lang w:val="en-US"/>
        </w:rPr>
      </w:pPr>
    </w:p>
    <w:p w14:paraId="654E88F2" w14:textId="77777777" w:rsidR="000D600C" w:rsidRPr="00C2708E" w:rsidRDefault="000D600C" w:rsidP="000D600C">
      <w:pPr>
        <w:spacing w:after="120"/>
        <w:jc w:val="both"/>
        <w:rPr>
          <w:rFonts w:cstheme="minorHAnsi"/>
          <w:color w:val="243587"/>
          <w:sz w:val="16"/>
          <w:szCs w:val="16"/>
          <w:lang w:val="en-US"/>
        </w:rPr>
      </w:pPr>
    </w:p>
    <w:p w14:paraId="092C8033" w14:textId="77777777" w:rsidR="008F7BCD" w:rsidRPr="00C2708E" w:rsidRDefault="008F7BCD" w:rsidP="000D600C">
      <w:pPr>
        <w:spacing w:after="120"/>
        <w:jc w:val="both"/>
        <w:rPr>
          <w:rFonts w:cstheme="minorHAnsi"/>
          <w:color w:val="243587"/>
          <w:sz w:val="16"/>
          <w:szCs w:val="16"/>
          <w:lang w:val="en-US"/>
        </w:rPr>
      </w:pPr>
    </w:p>
    <w:bookmarkEnd w:id="1"/>
    <w:p w14:paraId="10E88CA6" w14:textId="77777777" w:rsidR="000D600C" w:rsidRPr="00C2708E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  <w:lang w:val="en-US"/>
        </w:rPr>
      </w:pPr>
    </w:p>
    <w:p w14:paraId="446882E3" w14:textId="77777777" w:rsidR="000D600C" w:rsidRPr="00C2708E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  <w:lang w:val="en-US"/>
        </w:rPr>
      </w:pPr>
    </w:p>
    <w:p w14:paraId="78721C59" w14:textId="77777777" w:rsidR="000D600C" w:rsidRPr="00C2708E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4CB67306" w14:textId="77777777" w:rsidR="000D600C" w:rsidRPr="00C2708E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0E678E37" w14:textId="77777777" w:rsidR="000D600C" w:rsidRPr="00C2708E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35C79013" w14:textId="77777777" w:rsidR="000D600C" w:rsidRPr="00C2708E" w:rsidRDefault="000D600C" w:rsidP="000D600C">
      <w:pPr>
        <w:rPr>
          <w:rFonts w:cstheme="minorHAnsi"/>
          <w:sz w:val="22"/>
          <w:szCs w:val="22"/>
          <w:lang w:val="en-US"/>
        </w:rPr>
      </w:pPr>
    </w:p>
    <w:p w14:paraId="416BDA2A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  <w:lang w:val="en-US"/>
        </w:rPr>
      </w:pPr>
      <w:r w:rsidRPr="00B57206">
        <w:rPr>
          <w:rFonts w:cstheme="minorHAnsi"/>
          <w:b/>
          <w:bCs/>
          <w:color w:val="002677"/>
          <w:sz w:val="22"/>
          <w:szCs w:val="22"/>
          <w:lang w:val="en-US"/>
        </w:rPr>
        <w:t>Net Debt Analysis</w:t>
      </w:r>
    </w:p>
    <w:tbl>
      <w:tblPr>
        <w:tblW w:w="10065" w:type="dxa"/>
        <w:tblBorders>
          <w:top w:val="single" w:sz="4" w:space="0" w:color="002677"/>
          <w:bottom w:val="single" w:sz="4" w:space="0" w:color="002677"/>
          <w:insideH w:val="single" w:sz="4" w:space="0" w:color="002677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701"/>
      </w:tblGrid>
      <w:tr w:rsidR="000D600C" w:rsidRPr="00B57206" w14:paraId="05A8F31C" w14:textId="77777777" w:rsidTr="00F02503">
        <w:trPr>
          <w:trHeight w:val="167"/>
        </w:trPr>
        <w:tc>
          <w:tcPr>
            <w:tcW w:w="652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6B1AB7A6" w14:textId="77777777" w:rsidR="000D600C" w:rsidRPr="00B57206" w:rsidRDefault="000D600C" w:rsidP="000D600C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(in € mil.)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  <w:hideMark/>
          </w:tcPr>
          <w:p w14:paraId="7B04568F" w14:textId="6C1E446C" w:rsidR="000D600C" w:rsidRPr="00B57206" w:rsidRDefault="000D600C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>31.12.202</w:t>
            </w:r>
            <w:r w:rsidR="008F7BCD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  <w:hideMark/>
          </w:tcPr>
          <w:p w14:paraId="7079A482" w14:textId="3ED0D82C" w:rsidR="000D600C" w:rsidRPr="00B57206" w:rsidRDefault="000D600C" w:rsidP="000D600C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>31.</w:t>
            </w:r>
            <w:r w:rsidR="008F7BCD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03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>.202</w:t>
            </w:r>
            <w:r w:rsidR="008F7BCD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4</w:t>
            </w:r>
          </w:p>
        </w:tc>
      </w:tr>
      <w:tr w:rsidR="000D600C" w:rsidRPr="00B57206" w14:paraId="731D784C" w14:textId="77777777" w:rsidTr="00AE352D">
        <w:trPr>
          <w:trHeight w:val="107"/>
        </w:trPr>
        <w:tc>
          <w:tcPr>
            <w:tcW w:w="6521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center"/>
          </w:tcPr>
          <w:p w14:paraId="3D833198" w14:textId="77777777" w:rsidR="000D600C" w:rsidRPr="00B57206" w:rsidRDefault="000D600C" w:rsidP="000D600C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center"/>
          </w:tcPr>
          <w:p w14:paraId="6D126570" w14:textId="77777777" w:rsidR="000D600C" w:rsidRPr="00B57206" w:rsidRDefault="000D600C" w:rsidP="000D600C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nil"/>
              <w:right w:val="nil"/>
            </w:tcBorders>
            <w:shd w:val="clear" w:color="auto" w:fill="EFF2F9"/>
            <w:vAlign w:val="center"/>
          </w:tcPr>
          <w:p w14:paraId="75CA75FE" w14:textId="77777777" w:rsidR="000D600C" w:rsidRPr="00B57206" w:rsidRDefault="000D600C" w:rsidP="000D600C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</w:p>
        </w:tc>
      </w:tr>
      <w:tr w:rsidR="00C93F9B" w:rsidRPr="00B57206" w14:paraId="1BB8376A" w14:textId="77777777" w:rsidTr="008E41B2">
        <w:trPr>
          <w:trHeight w:val="13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F285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C</w:t>
            </w:r>
            <w:proofErr w:type="spellStart"/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>ash</w:t>
            </w:r>
            <w:proofErr w:type="spellEnd"/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 xml:space="preserve"> and </w:t>
            </w:r>
            <w:proofErr w:type="spellStart"/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>cash</w:t>
            </w:r>
            <w:proofErr w:type="spellEnd"/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>equivalents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BC59" w14:textId="30387785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709</w:t>
            </w:r>
            <w:r w:rsidRPr="00C3525E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,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F2F9"/>
            <w:vAlign w:val="bottom"/>
          </w:tcPr>
          <w:p w14:paraId="6916689D" w14:textId="290CC502" w:rsidR="00C93F9B" w:rsidRPr="00B55ECC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72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  <w:t>8</w:t>
            </w: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,9</w:t>
            </w:r>
          </w:p>
        </w:tc>
      </w:tr>
      <w:tr w:rsidR="00C93F9B" w:rsidRPr="00B57206" w14:paraId="6C030328" w14:textId="77777777" w:rsidTr="008E41B2">
        <w:trPr>
          <w:trHeight w:val="13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91F6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Borrowings</w:t>
            </w:r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6438B" w14:textId="0133EA56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C3525E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22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0</w:t>
            </w:r>
            <w:r w:rsidRPr="00C3525E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FF2F9"/>
            <w:vAlign w:val="bottom"/>
          </w:tcPr>
          <w:p w14:paraId="7129CF4F" w14:textId="181AA09A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218,3</w:t>
            </w:r>
          </w:p>
        </w:tc>
      </w:tr>
      <w:tr w:rsidR="00C93F9B" w:rsidRPr="00B57206" w14:paraId="55735D13" w14:textId="77777777" w:rsidTr="008E41B2">
        <w:trPr>
          <w:trHeight w:val="136"/>
        </w:trPr>
        <w:tc>
          <w:tcPr>
            <w:tcW w:w="6521" w:type="dxa"/>
            <w:tcBorders>
              <w:top w:val="nil"/>
              <w:left w:val="nil"/>
              <w:bottom w:val="single" w:sz="4" w:space="0" w:color="002677"/>
              <w:right w:val="nil"/>
            </w:tcBorders>
            <w:vAlign w:val="center"/>
          </w:tcPr>
          <w:p w14:paraId="4A9D0DF1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Lease Liabilities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677"/>
              <w:right w:val="nil"/>
            </w:tcBorders>
            <w:vAlign w:val="bottom"/>
          </w:tcPr>
          <w:p w14:paraId="062CAC7F" w14:textId="3D295AD6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C3525E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901,2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7AE244B9" w14:textId="57267B79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970,7</w:t>
            </w:r>
          </w:p>
        </w:tc>
      </w:tr>
      <w:tr w:rsidR="00C93F9B" w:rsidRPr="00B57206" w14:paraId="6C8ACA41" w14:textId="77777777" w:rsidTr="008E41B2">
        <w:trPr>
          <w:trHeight w:val="136"/>
        </w:trPr>
        <w:tc>
          <w:tcPr>
            <w:tcW w:w="652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45C68316" w14:textId="77777777" w:rsidR="00C93F9B" w:rsidRPr="00B57206" w:rsidRDefault="00C93F9B" w:rsidP="00C93F9B">
            <w:pP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Net Debt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6B9FAD05" w14:textId="2CAB03A4" w:rsidR="00C93F9B" w:rsidRPr="0071551B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C3525E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412,</w:t>
            </w: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bottom"/>
          </w:tcPr>
          <w:p w14:paraId="67BD8456" w14:textId="144366DC" w:rsidR="00C93F9B" w:rsidRPr="0071551B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46</w:t>
            </w: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0</w:t>
            </w:r>
            <w:r w:rsidRPr="00920E02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,1</w:t>
            </w:r>
          </w:p>
        </w:tc>
      </w:tr>
      <w:tr w:rsidR="00C93F9B" w:rsidRPr="00B57206" w14:paraId="3F95D39B" w14:textId="77777777" w:rsidTr="0039502E">
        <w:trPr>
          <w:trHeight w:val="136"/>
        </w:trPr>
        <w:tc>
          <w:tcPr>
            <w:tcW w:w="652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37E18D9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bottom"/>
          </w:tcPr>
          <w:p w14:paraId="378C12C7" w14:textId="77777777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13B91CE2" w14:textId="77777777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</w:p>
        </w:tc>
      </w:tr>
      <w:tr w:rsidR="00C93F9B" w:rsidRPr="00B57206" w14:paraId="4214D6E2" w14:textId="77777777" w:rsidTr="008E41B2">
        <w:trPr>
          <w:trHeight w:val="442"/>
        </w:trPr>
        <w:tc>
          <w:tcPr>
            <w:tcW w:w="6521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center"/>
          </w:tcPr>
          <w:p w14:paraId="71E3C26A" w14:textId="1A32A7D1" w:rsidR="00C93F9B" w:rsidRPr="00795ADA" w:rsidRDefault="00C93F9B" w:rsidP="00C93F9B">
            <w:pP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color w:val="002677"/>
                <w:sz w:val="22"/>
                <w:szCs w:val="22"/>
              </w:rPr>
              <w:t>Net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Debt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/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 xml:space="preserve"> 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(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Net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Cash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 xml:space="preserve">) 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excluding</w:t>
            </w:r>
            <w:r w:rsidRPr="00795ADA"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Lease Liabilities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bottom"/>
          </w:tcPr>
          <w:p w14:paraId="49A645EF" w14:textId="085C8393" w:rsidR="00C93F9B" w:rsidRPr="00795ADA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(</w:t>
            </w:r>
            <w:r w:rsidRPr="006F2FCD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489</w:t>
            </w: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,0)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nil"/>
              <w:right w:val="nil"/>
            </w:tcBorders>
            <w:shd w:val="clear" w:color="auto" w:fill="EFF2F9"/>
            <w:vAlign w:val="bottom"/>
          </w:tcPr>
          <w:p w14:paraId="0AD5AB2F" w14:textId="3820FDA7" w:rsidR="00C93F9B" w:rsidRPr="00795ADA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(</w:t>
            </w:r>
            <w:r w:rsidRPr="00920E02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5</w:t>
            </w: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10</w:t>
            </w:r>
            <w:r w:rsidRPr="00920E02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,6</w:t>
            </w:r>
            <w: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  <w:t>)</w:t>
            </w:r>
          </w:p>
        </w:tc>
      </w:tr>
      <w:tr w:rsidR="00C93F9B" w:rsidRPr="00B57206" w14:paraId="5AB609F8" w14:textId="77777777" w:rsidTr="0039502E">
        <w:trPr>
          <w:trHeight w:val="136"/>
        </w:trPr>
        <w:tc>
          <w:tcPr>
            <w:tcW w:w="6521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center"/>
          </w:tcPr>
          <w:p w14:paraId="34846768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bottom"/>
          </w:tcPr>
          <w:p w14:paraId="567FC950" w14:textId="77777777" w:rsidR="00C93F9B" w:rsidRPr="0074469D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nil"/>
              <w:right w:val="nil"/>
            </w:tcBorders>
            <w:shd w:val="clear" w:color="auto" w:fill="EFF2F9"/>
            <w:vAlign w:val="center"/>
          </w:tcPr>
          <w:p w14:paraId="7F5AD54E" w14:textId="77777777" w:rsidR="00C93F9B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</w:p>
        </w:tc>
      </w:tr>
      <w:tr w:rsidR="00C93F9B" w:rsidRPr="00B57206" w14:paraId="3F6ACE80" w14:textId="77777777" w:rsidTr="0039502E">
        <w:trPr>
          <w:trHeight w:val="136"/>
        </w:trPr>
        <w:tc>
          <w:tcPr>
            <w:tcW w:w="6521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center"/>
          </w:tcPr>
          <w:p w14:paraId="14A95A05" w14:textId="34F3AD1F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EBITDA</w:t>
            </w:r>
            <w:r w:rsidRPr="00AC4536">
              <w:rPr>
                <w:rFonts w:cstheme="minorHAnsi"/>
                <w:color w:val="002677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cstheme="minorHAnsi"/>
                <w:color w:val="243587"/>
                <w:sz w:val="22"/>
                <w:szCs w:val="22"/>
                <w:lang w:val="en-US"/>
              </w:rPr>
              <w:t>- 12month trailing</w:t>
            </w:r>
          </w:p>
        </w:tc>
        <w:tc>
          <w:tcPr>
            <w:tcW w:w="1843" w:type="dxa"/>
            <w:tcBorders>
              <w:top w:val="single" w:sz="4" w:space="0" w:color="002677"/>
              <w:left w:val="nil"/>
              <w:bottom w:val="nil"/>
              <w:right w:val="nil"/>
            </w:tcBorders>
            <w:vAlign w:val="bottom"/>
          </w:tcPr>
          <w:p w14:paraId="3FEF2D03" w14:textId="46D811A4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400,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nil"/>
              <w:right w:val="nil"/>
            </w:tcBorders>
            <w:shd w:val="clear" w:color="auto" w:fill="EFF2F9"/>
            <w:vAlign w:val="center"/>
          </w:tcPr>
          <w:p w14:paraId="559E9299" w14:textId="57C85B8B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414,2</w:t>
            </w:r>
          </w:p>
        </w:tc>
      </w:tr>
      <w:tr w:rsidR="00C93F9B" w:rsidRPr="00B57206" w14:paraId="61D0AC38" w14:textId="77777777" w:rsidTr="0039502E">
        <w:trPr>
          <w:trHeight w:val="136"/>
        </w:trPr>
        <w:tc>
          <w:tcPr>
            <w:tcW w:w="6521" w:type="dxa"/>
            <w:tcBorders>
              <w:top w:val="nil"/>
              <w:left w:val="nil"/>
              <w:bottom w:val="single" w:sz="4" w:space="0" w:color="002677"/>
              <w:right w:val="nil"/>
            </w:tcBorders>
            <w:vAlign w:val="center"/>
          </w:tcPr>
          <w:p w14:paraId="7F80D2F2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Net Debt</w:t>
            </w:r>
            <w:r w:rsidRPr="00B57206">
              <w:rPr>
                <w:rFonts w:cstheme="minorHAnsi"/>
                <w:color w:val="002677"/>
                <w:sz w:val="22"/>
                <w:szCs w:val="22"/>
                <w:lang w:val="el-GR"/>
              </w:rPr>
              <w:t xml:space="preserve"> / Ε</w:t>
            </w:r>
            <w:r w:rsidRPr="00B57206">
              <w:rPr>
                <w:rFonts w:cstheme="minorHAnsi"/>
                <w:color w:val="002677"/>
                <w:sz w:val="22"/>
                <w:szCs w:val="22"/>
                <w:lang w:val="en-US"/>
              </w:rPr>
              <w:t>BITDA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677"/>
              <w:right w:val="nil"/>
            </w:tcBorders>
            <w:vAlign w:val="bottom"/>
          </w:tcPr>
          <w:p w14:paraId="0C2994F0" w14:textId="353D802C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1,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0</w:t>
            </w:r>
            <w:r w:rsidRPr="0074469D"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32437AF4" w14:textId="04AA2CEC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1,1x</w:t>
            </w:r>
          </w:p>
        </w:tc>
      </w:tr>
    </w:tbl>
    <w:p w14:paraId="1D6BC86C" w14:textId="77777777" w:rsidR="000D600C" w:rsidRPr="00B57206" w:rsidRDefault="000D600C" w:rsidP="000D600C">
      <w:pPr>
        <w:pStyle w:val="FootnoteText"/>
        <w:jc w:val="both"/>
        <w:rPr>
          <w:rFonts w:asciiTheme="minorHAnsi" w:eastAsiaTheme="minorHAnsi" w:hAnsiTheme="minorHAnsi" w:cstheme="minorHAnsi"/>
          <w:color w:val="002677"/>
          <w:sz w:val="22"/>
          <w:szCs w:val="22"/>
          <w:lang w:val="en-US" w:eastAsia="en-US"/>
        </w:rPr>
      </w:pPr>
    </w:p>
    <w:p w14:paraId="6B5A0A36" w14:textId="77777777" w:rsidR="008F7BCD" w:rsidRPr="008B4899" w:rsidRDefault="008F7BCD" w:rsidP="008F7BCD">
      <w:pPr>
        <w:spacing w:after="120"/>
        <w:jc w:val="both"/>
        <w:rPr>
          <w:rFonts w:cstheme="minorHAnsi"/>
          <w:color w:val="243587"/>
          <w:sz w:val="18"/>
          <w:szCs w:val="18"/>
        </w:rPr>
      </w:pPr>
      <w:r w:rsidRPr="008B4899">
        <w:rPr>
          <w:rFonts w:cstheme="minorHAnsi"/>
          <w:color w:val="243587"/>
          <w:sz w:val="18"/>
          <w:szCs w:val="18"/>
        </w:rPr>
        <w:t>Note:</w:t>
      </w:r>
    </w:p>
    <w:p w14:paraId="4AF4962C" w14:textId="29E05207" w:rsidR="000D600C" w:rsidRPr="008F7BCD" w:rsidRDefault="008F7BCD" w:rsidP="008F7BCD">
      <w:pPr>
        <w:spacing w:after="120"/>
        <w:jc w:val="both"/>
        <w:rPr>
          <w:rFonts w:cstheme="minorHAnsi"/>
          <w:color w:val="243587"/>
          <w:sz w:val="18"/>
          <w:szCs w:val="18"/>
        </w:rPr>
      </w:pPr>
      <w:r w:rsidRPr="008B4899">
        <w:rPr>
          <w:rFonts w:cstheme="minorHAnsi"/>
          <w:color w:val="243587"/>
          <w:sz w:val="18"/>
          <w:szCs w:val="18"/>
          <w:vertAlign w:val="superscript"/>
        </w:rPr>
        <w:t>1</w:t>
      </w:r>
      <w:r>
        <w:rPr>
          <w:rFonts w:cstheme="minorHAnsi"/>
          <w:color w:val="243587"/>
          <w:sz w:val="18"/>
          <w:szCs w:val="18"/>
          <w:vertAlign w:val="superscript"/>
        </w:rPr>
        <w:t xml:space="preserve"> </w:t>
      </w:r>
      <w:r w:rsidRPr="008B4899">
        <w:rPr>
          <w:rFonts w:cstheme="minorHAnsi"/>
          <w:color w:val="243587"/>
          <w:sz w:val="18"/>
          <w:szCs w:val="18"/>
        </w:rPr>
        <w:t>12</w:t>
      </w:r>
      <w:r>
        <w:rPr>
          <w:rFonts w:cstheme="minorHAnsi"/>
          <w:color w:val="243587"/>
          <w:sz w:val="18"/>
          <w:szCs w:val="18"/>
        </w:rPr>
        <w:t>-</w:t>
      </w:r>
      <w:r w:rsidRPr="008B4899">
        <w:rPr>
          <w:rFonts w:cstheme="minorHAnsi"/>
          <w:color w:val="243587"/>
          <w:sz w:val="18"/>
          <w:szCs w:val="18"/>
        </w:rPr>
        <w:t>month trailing Earnings/(Losses) before interest, tax, depreciation and amortization (EBITDA), Jan.</w:t>
      </w:r>
      <w:r w:rsidR="00040362">
        <w:rPr>
          <w:rFonts w:cstheme="minorHAnsi"/>
          <w:color w:val="243587"/>
          <w:sz w:val="18"/>
          <w:szCs w:val="18"/>
        </w:rPr>
        <w:t xml:space="preserve"> </w:t>
      </w:r>
      <w:r>
        <w:rPr>
          <w:rFonts w:cstheme="minorHAnsi"/>
          <w:color w:val="243587"/>
          <w:sz w:val="18"/>
          <w:szCs w:val="18"/>
        </w:rPr>
        <w:t>-</w:t>
      </w:r>
      <w:r w:rsidR="00040362">
        <w:rPr>
          <w:rFonts w:cstheme="minorHAnsi"/>
          <w:color w:val="243587"/>
          <w:sz w:val="18"/>
          <w:szCs w:val="18"/>
        </w:rPr>
        <w:t xml:space="preserve"> </w:t>
      </w:r>
      <w:r w:rsidRPr="008B4899">
        <w:rPr>
          <w:rFonts w:cstheme="minorHAnsi"/>
          <w:color w:val="243587"/>
          <w:sz w:val="18"/>
          <w:szCs w:val="18"/>
        </w:rPr>
        <w:t>Dec</w:t>
      </w:r>
      <w:r>
        <w:rPr>
          <w:rFonts w:cstheme="minorHAnsi"/>
          <w:color w:val="243587"/>
          <w:sz w:val="18"/>
          <w:szCs w:val="18"/>
        </w:rPr>
        <w:t>.</w:t>
      </w:r>
      <w:r w:rsidR="00040362">
        <w:rPr>
          <w:rFonts w:cstheme="minorHAnsi"/>
          <w:color w:val="243587"/>
          <w:sz w:val="18"/>
          <w:szCs w:val="18"/>
        </w:rPr>
        <w:t xml:space="preserve"> 20</w:t>
      </w:r>
      <w:r w:rsidRPr="008B4899">
        <w:rPr>
          <w:rFonts w:cstheme="minorHAnsi"/>
          <w:color w:val="243587"/>
          <w:sz w:val="18"/>
          <w:szCs w:val="18"/>
        </w:rPr>
        <w:t>2</w:t>
      </w:r>
      <w:r>
        <w:rPr>
          <w:rFonts w:cstheme="minorHAnsi"/>
          <w:color w:val="243587"/>
          <w:sz w:val="18"/>
          <w:szCs w:val="18"/>
        </w:rPr>
        <w:t>3</w:t>
      </w:r>
      <w:r w:rsidRPr="008B4899">
        <w:rPr>
          <w:rFonts w:cstheme="minorHAnsi"/>
          <w:color w:val="243587"/>
          <w:sz w:val="18"/>
          <w:szCs w:val="18"/>
        </w:rPr>
        <w:t xml:space="preserve"> and Apr.</w:t>
      </w:r>
      <w:r w:rsidR="00040362">
        <w:rPr>
          <w:rFonts w:cstheme="minorHAnsi"/>
          <w:color w:val="243587"/>
          <w:sz w:val="18"/>
          <w:szCs w:val="18"/>
        </w:rPr>
        <w:t xml:space="preserve"> 20</w:t>
      </w:r>
      <w:r w:rsidRPr="008B4899">
        <w:rPr>
          <w:rFonts w:cstheme="minorHAnsi"/>
          <w:color w:val="243587"/>
          <w:sz w:val="18"/>
          <w:szCs w:val="18"/>
        </w:rPr>
        <w:t>2</w:t>
      </w:r>
      <w:r>
        <w:rPr>
          <w:rFonts w:cstheme="minorHAnsi"/>
          <w:color w:val="243587"/>
          <w:sz w:val="18"/>
          <w:szCs w:val="18"/>
        </w:rPr>
        <w:t xml:space="preserve">3 </w:t>
      </w:r>
      <w:r w:rsidRPr="008B4899">
        <w:rPr>
          <w:rFonts w:cstheme="minorHAnsi"/>
          <w:color w:val="243587"/>
          <w:sz w:val="18"/>
          <w:szCs w:val="18"/>
        </w:rPr>
        <w:t>- Mar.</w:t>
      </w:r>
      <w:r w:rsidR="00040362">
        <w:rPr>
          <w:rFonts w:cstheme="minorHAnsi"/>
          <w:color w:val="243587"/>
          <w:sz w:val="18"/>
          <w:szCs w:val="18"/>
        </w:rPr>
        <w:t xml:space="preserve"> 20</w:t>
      </w:r>
      <w:r w:rsidRPr="008B4899">
        <w:rPr>
          <w:rFonts w:cstheme="minorHAnsi"/>
          <w:color w:val="243587"/>
          <w:sz w:val="18"/>
          <w:szCs w:val="18"/>
        </w:rPr>
        <w:t>2</w:t>
      </w:r>
      <w:r>
        <w:rPr>
          <w:rFonts w:cstheme="minorHAnsi"/>
          <w:color w:val="243587"/>
          <w:sz w:val="18"/>
          <w:szCs w:val="18"/>
        </w:rPr>
        <w:t>4</w:t>
      </w:r>
      <w:r w:rsidRPr="008B4899">
        <w:rPr>
          <w:rFonts w:cstheme="minorHAnsi"/>
          <w:color w:val="243587"/>
          <w:sz w:val="18"/>
          <w:szCs w:val="18"/>
        </w:rPr>
        <w:t xml:space="preserve"> respectively.</w:t>
      </w:r>
    </w:p>
    <w:p w14:paraId="24320601" w14:textId="77777777" w:rsidR="000D600C" w:rsidRPr="002E61CA" w:rsidRDefault="000D600C" w:rsidP="00913D87">
      <w:pPr>
        <w:pStyle w:val="AegeanNormal"/>
        <w:rPr>
          <w:lang w:val="en-US"/>
        </w:rPr>
      </w:pPr>
    </w:p>
    <w:p w14:paraId="2E1D1D0C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2DF0102E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6DA97EBD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1A70042F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65D4BBA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42EF171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27F151D8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6FDDA47B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24FBFACC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1D11E2D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E7F9BC8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03323334" w14:textId="77777777" w:rsidR="009B0802" w:rsidRDefault="009B0802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04933332" w14:textId="42A13E2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3EDA46C5" w14:textId="56D9BCEC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A317CE7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65A77CC3" w14:textId="77777777" w:rsidR="002E61CA" w:rsidRDefault="002E61CA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3F3B086F" w14:textId="1E094BA3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B57206">
        <w:rPr>
          <w:rFonts w:cstheme="minorHAnsi"/>
          <w:b/>
          <w:bCs/>
          <w:color w:val="002677"/>
          <w:sz w:val="22"/>
          <w:szCs w:val="22"/>
        </w:rPr>
        <w:t>AEGEAN at a glance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276"/>
      </w:tblGrid>
      <w:tr w:rsidR="008F7BCD" w:rsidRPr="00B57206" w14:paraId="349CE4CE" w14:textId="77777777" w:rsidTr="008F7BCD">
        <w:trPr>
          <w:trHeight w:val="637"/>
        </w:trPr>
        <w:tc>
          <w:tcPr>
            <w:tcW w:w="5387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482C2B7" w14:textId="77777777" w:rsidR="008F7BCD" w:rsidRPr="000F2DE9" w:rsidRDefault="008F7BCD" w:rsidP="008F7BCD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5E4F53">
              <w:rPr>
                <w:rFonts w:cstheme="minorHAnsi"/>
                <w:color w:val="FFFFFF" w:themeColor="background1"/>
                <w:sz w:val="22"/>
                <w:szCs w:val="22"/>
              </w:rPr>
              <w:t>(in € mil.)</w:t>
            </w:r>
          </w:p>
        </w:tc>
        <w:tc>
          <w:tcPr>
            <w:tcW w:w="1701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2F7B5D6B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3F31DE74" w14:textId="2ABBAFFC" w:rsidR="008F7BCD" w:rsidRPr="000F2DE9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296B508B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00E0C42C" w14:textId="14FDA1DE" w:rsidR="008F7BCD" w:rsidRPr="000F2DE9" w:rsidRDefault="008F7BCD" w:rsidP="008F7BCD">
            <w:pPr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49D286A7" w14:textId="26394DF2" w:rsidR="008F7BCD" w:rsidRPr="000F2DE9" w:rsidRDefault="008F7BCD" w:rsidP="008F7BCD">
            <w:pPr>
              <w:jc w:val="center"/>
              <w:rPr>
                <w:rFonts w:cstheme="minorHAnsi"/>
                <w:color w:val="FFFFFF" w:themeColor="background1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%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change</w:t>
            </w:r>
          </w:p>
        </w:tc>
      </w:tr>
      <w:tr w:rsidR="00E353E6" w:rsidRPr="00B57206" w14:paraId="0F2A97B9" w14:textId="77777777" w:rsidTr="00511CA9">
        <w:trPr>
          <w:trHeight w:val="299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202832A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Revenue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bottom"/>
          </w:tcPr>
          <w:p w14:paraId="356E8AF2" w14:textId="34B1AC23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bottom"/>
          </w:tcPr>
          <w:p w14:paraId="6CD53197" w14:textId="7D203B84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268,8</w:t>
            </w:r>
          </w:p>
        </w:tc>
        <w:tc>
          <w:tcPr>
            <w:tcW w:w="1276" w:type="dxa"/>
            <w:tcBorders>
              <w:top w:val="single" w:sz="4" w:space="0" w:color="002677"/>
            </w:tcBorders>
            <w:vAlign w:val="bottom"/>
          </w:tcPr>
          <w:p w14:paraId="49DC703B" w14:textId="6340C300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17%</w:t>
            </w:r>
          </w:p>
        </w:tc>
      </w:tr>
      <w:tr w:rsidR="00E353E6" w:rsidRPr="00B57206" w14:paraId="5A2A996C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00B510C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EBITDA</w:t>
            </w:r>
          </w:p>
        </w:tc>
        <w:tc>
          <w:tcPr>
            <w:tcW w:w="1701" w:type="dxa"/>
            <w:vAlign w:val="bottom"/>
          </w:tcPr>
          <w:p w14:paraId="7D312614" w14:textId="13900641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19,3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618EBCAF" w14:textId="7029F66A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33,2</w:t>
            </w:r>
          </w:p>
        </w:tc>
        <w:tc>
          <w:tcPr>
            <w:tcW w:w="1276" w:type="dxa"/>
            <w:vAlign w:val="bottom"/>
          </w:tcPr>
          <w:p w14:paraId="3BE9634F" w14:textId="52720712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72%</w:t>
            </w:r>
          </w:p>
        </w:tc>
      </w:tr>
      <w:tr w:rsidR="00E353E6" w:rsidRPr="00B57206" w14:paraId="404808D5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F4CB946" w14:textId="77777777" w:rsidR="00E353E6" w:rsidRPr="00A47C51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EBIT</w:t>
            </w:r>
          </w:p>
        </w:tc>
        <w:tc>
          <w:tcPr>
            <w:tcW w:w="1701" w:type="dxa"/>
            <w:vAlign w:val="bottom"/>
          </w:tcPr>
          <w:p w14:paraId="2D6C81A1" w14:textId="61C5DB36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(14,7)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36B5D71A" w14:textId="4BCC800D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(7,2)</w:t>
            </w:r>
          </w:p>
        </w:tc>
        <w:tc>
          <w:tcPr>
            <w:tcW w:w="1276" w:type="dxa"/>
            <w:vAlign w:val="center"/>
          </w:tcPr>
          <w:p w14:paraId="7909E393" w14:textId="21846ED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764F21A3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87AF65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Pre-tax Profit</w:t>
            </w:r>
            <w:r>
              <w:rPr>
                <w:rFonts w:cstheme="minorHAnsi"/>
                <w:color w:val="002677"/>
                <w:sz w:val="22"/>
                <w:szCs w:val="22"/>
                <w:lang w:val="en-US"/>
              </w:rPr>
              <w:t>/(Loss)</w:t>
            </w:r>
          </w:p>
        </w:tc>
        <w:tc>
          <w:tcPr>
            <w:tcW w:w="1701" w:type="dxa"/>
            <w:vAlign w:val="bottom"/>
          </w:tcPr>
          <w:p w14:paraId="3E606B44" w14:textId="5990582A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(18,6)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13FFE4AD" w14:textId="52DEA49E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(26,3)</w:t>
            </w:r>
          </w:p>
        </w:tc>
        <w:tc>
          <w:tcPr>
            <w:tcW w:w="1276" w:type="dxa"/>
            <w:vAlign w:val="center"/>
          </w:tcPr>
          <w:p w14:paraId="5AF47393" w14:textId="2F59040F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6FE6E72E" w14:textId="77777777" w:rsidTr="00511CA9">
        <w:trPr>
          <w:trHeight w:val="299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4CA66AB" w14:textId="77777777" w:rsidR="00E353E6" w:rsidRPr="00A47C51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Net Profit</w:t>
            </w:r>
            <w:r>
              <w:rPr>
                <w:rFonts w:cstheme="minorHAnsi"/>
                <w:color w:val="002677"/>
                <w:sz w:val="22"/>
                <w:szCs w:val="22"/>
                <w:lang w:val="en-US"/>
              </w:rPr>
              <w:t>/(Loss)</w:t>
            </w:r>
            <w:r w:rsidRPr="00A47C51">
              <w:rPr>
                <w:rFonts w:cstheme="minorHAnsi"/>
                <w:color w:val="002677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bottom"/>
          </w:tcPr>
          <w:p w14:paraId="73D1A315" w14:textId="0A5C4D03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(14,4)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bottom"/>
          </w:tcPr>
          <w:p w14:paraId="4C6A4B39" w14:textId="1D5789EB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(21,0)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center"/>
          </w:tcPr>
          <w:p w14:paraId="24D4A772" w14:textId="7BEE49F2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70AB9C92" w14:textId="77777777" w:rsidTr="00511CA9">
        <w:trPr>
          <w:trHeight w:val="299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83FC4C1" w14:textId="77777777" w:rsidR="00E353E6" w:rsidRPr="0071551B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71551B">
              <w:rPr>
                <w:rFonts w:cstheme="minorHAnsi"/>
                <w:color w:val="002677"/>
                <w:sz w:val="22"/>
                <w:szCs w:val="22"/>
              </w:rPr>
              <w:t>Total passengers (‘000)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bottom"/>
          </w:tcPr>
          <w:p w14:paraId="116BC91A" w14:textId="7BC3A463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2.581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bottom"/>
          </w:tcPr>
          <w:p w14:paraId="6F0EABA1" w14:textId="0B4B2BE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2.856</w:t>
            </w:r>
          </w:p>
        </w:tc>
        <w:tc>
          <w:tcPr>
            <w:tcW w:w="1276" w:type="dxa"/>
            <w:tcBorders>
              <w:top w:val="single" w:sz="4" w:space="0" w:color="002677"/>
            </w:tcBorders>
            <w:vAlign w:val="bottom"/>
          </w:tcPr>
          <w:p w14:paraId="20DB40BE" w14:textId="7FA0F3E7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11%</w:t>
            </w:r>
          </w:p>
        </w:tc>
      </w:tr>
      <w:tr w:rsidR="00E353E6" w:rsidRPr="00B57206" w14:paraId="3A0C2776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2A27EEF" w14:textId="77777777" w:rsidR="00E353E6" w:rsidRPr="0071551B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71551B">
              <w:rPr>
                <w:rFonts w:cstheme="minorHAnsi"/>
                <w:color w:val="002677"/>
                <w:sz w:val="22"/>
                <w:szCs w:val="22"/>
              </w:rPr>
              <w:t>Average passengers per flight</w:t>
            </w:r>
          </w:p>
        </w:tc>
        <w:tc>
          <w:tcPr>
            <w:tcW w:w="1701" w:type="dxa"/>
            <w:vAlign w:val="bottom"/>
          </w:tcPr>
          <w:p w14:paraId="2EEC4DE6" w14:textId="6294C836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126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3A753771" w14:textId="069C70CA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126</w:t>
            </w:r>
          </w:p>
        </w:tc>
        <w:tc>
          <w:tcPr>
            <w:tcW w:w="1276" w:type="dxa"/>
            <w:vAlign w:val="bottom"/>
          </w:tcPr>
          <w:p w14:paraId="3DDCAE16" w14:textId="18A54E0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0%</w:t>
            </w:r>
          </w:p>
        </w:tc>
      </w:tr>
      <w:tr w:rsidR="00E353E6" w:rsidRPr="00B57206" w14:paraId="5784AE87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F52B14E" w14:textId="77777777" w:rsidR="00E353E6" w:rsidRPr="0071551B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71551B">
              <w:rPr>
                <w:rFonts w:cstheme="minorHAnsi"/>
                <w:color w:val="002677"/>
                <w:sz w:val="22"/>
                <w:szCs w:val="22"/>
              </w:rPr>
              <w:t>Load factor - Scheduled services (RPK/ASK)</w:t>
            </w:r>
          </w:p>
        </w:tc>
        <w:tc>
          <w:tcPr>
            <w:tcW w:w="1701" w:type="dxa"/>
            <w:vAlign w:val="bottom"/>
          </w:tcPr>
          <w:p w14:paraId="2268FC91" w14:textId="1CD35AE5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81,6%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30AE0AA3" w14:textId="4A6F8AAD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81,7%</w:t>
            </w:r>
          </w:p>
        </w:tc>
        <w:tc>
          <w:tcPr>
            <w:tcW w:w="1276" w:type="dxa"/>
            <w:vAlign w:val="bottom"/>
          </w:tcPr>
          <w:p w14:paraId="1FDADF64" w14:textId="7B022F00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0,1pp</w:t>
            </w:r>
          </w:p>
        </w:tc>
      </w:tr>
      <w:tr w:rsidR="00E353E6" w:rsidRPr="00B57206" w14:paraId="499F0546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828480A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Load factor - Scheduled services (Pax/AVS)</w:t>
            </w:r>
          </w:p>
        </w:tc>
        <w:tc>
          <w:tcPr>
            <w:tcW w:w="1701" w:type="dxa"/>
            <w:vAlign w:val="bottom"/>
          </w:tcPr>
          <w:p w14:paraId="5C6056B0" w14:textId="203FF7BE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80,0%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76EA7A79" w14:textId="6BD7782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80,6%</w:t>
            </w:r>
          </w:p>
        </w:tc>
        <w:tc>
          <w:tcPr>
            <w:tcW w:w="1276" w:type="dxa"/>
            <w:vAlign w:val="bottom"/>
          </w:tcPr>
          <w:p w14:paraId="1C695A50" w14:textId="0BAACEE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0,6pp</w:t>
            </w:r>
          </w:p>
        </w:tc>
      </w:tr>
      <w:tr w:rsidR="00E353E6" w:rsidRPr="00B57206" w14:paraId="61B7896A" w14:textId="77777777" w:rsidTr="00511CA9">
        <w:trPr>
          <w:trHeight w:val="299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49A1EFA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Average sector length (km)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bottom"/>
          </w:tcPr>
          <w:p w14:paraId="57A340C6" w14:textId="02CFB1C1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891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bottom"/>
          </w:tcPr>
          <w:p w14:paraId="2CF8D1C2" w14:textId="42AEF69B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920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bottom"/>
          </w:tcPr>
          <w:p w14:paraId="6093D38B" w14:textId="617F405B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3%</w:t>
            </w:r>
          </w:p>
        </w:tc>
      </w:tr>
      <w:tr w:rsidR="00E353E6" w:rsidRPr="00B57206" w14:paraId="2EAFF14F" w14:textId="77777777" w:rsidTr="00511CA9">
        <w:trPr>
          <w:trHeight w:val="299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91F8132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RASK (Revenue per ASK, in € cents)</w:t>
            </w:r>
            <w:r w:rsidRPr="000F2DE9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bottom"/>
          </w:tcPr>
          <w:p w14:paraId="28AC4544" w14:textId="253C68BE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6,9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bottom"/>
          </w:tcPr>
          <w:p w14:paraId="73E9FCF8" w14:textId="030661D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2677"/>
            </w:tcBorders>
            <w:vAlign w:val="bottom"/>
          </w:tcPr>
          <w:p w14:paraId="729AA9EE" w14:textId="25C5A5C1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5%</w:t>
            </w:r>
          </w:p>
        </w:tc>
      </w:tr>
      <w:tr w:rsidR="00E353E6" w:rsidRPr="00B57206" w14:paraId="16EE6480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EC9288F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Yield (in € cents)</w:t>
            </w:r>
            <w:r w:rsidRPr="000F2DE9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7625CD03" w14:textId="58317C1E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1303D0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8,4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2336EED8" w14:textId="4F6812C5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1303D0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8,8</w:t>
            </w:r>
          </w:p>
        </w:tc>
        <w:tc>
          <w:tcPr>
            <w:tcW w:w="1276" w:type="dxa"/>
            <w:vAlign w:val="center"/>
          </w:tcPr>
          <w:p w14:paraId="0D758699" w14:textId="61BD33E1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1303D0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4%</w:t>
            </w:r>
          </w:p>
        </w:tc>
      </w:tr>
      <w:tr w:rsidR="00E353E6" w:rsidRPr="00B57206" w14:paraId="2DD5A712" w14:textId="77777777" w:rsidTr="00511CA9">
        <w:trPr>
          <w:trHeight w:val="299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2923D9E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CASK (EBT level, in € cents)</w:t>
            </w:r>
            <w:r w:rsidRPr="000F2DE9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F52BC4D" w14:textId="611A9128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7,7</w:t>
            </w:r>
          </w:p>
        </w:tc>
        <w:tc>
          <w:tcPr>
            <w:tcW w:w="1701" w:type="dxa"/>
            <w:shd w:val="clear" w:color="auto" w:fill="EFF2F9"/>
            <w:vAlign w:val="bottom"/>
          </w:tcPr>
          <w:p w14:paraId="340EB103" w14:textId="48061282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8,0</w:t>
            </w:r>
          </w:p>
        </w:tc>
        <w:tc>
          <w:tcPr>
            <w:tcW w:w="1276" w:type="dxa"/>
            <w:vAlign w:val="bottom"/>
          </w:tcPr>
          <w:p w14:paraId="32A98E2B" w14:textId="3B20C254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5%</w:t>
            </w:r>
          </w:p>
        </w:tc>
      </w:tr>
      <w:tr w:rsidR="00E353E6" w:rsidRPr="00B57206" w14:paraId="78347EBE" w14:textId="77777777" w:rsidTr="00511CA9">
        <w:trPr>
          <w:trHeight w:val="299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8773607" w14:textId="77777777" w:rsidR="00E353E6" w:rsidRPr="000F2DE9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0F2DE9">
              <w:rPr>
                <w:rFonts w:cstheme="minorHAnsi"/>
                <w:color w:val="002677"/>
                <w:sz w:val="22"/>
                <w:szCs w:val="22"/>
              </w:rPr>
              <w:t>CASK (EBT level, in € cents) - excl. fuel costs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bottom"/>
          </w:tcPr>
          <w:p w14:paraId="1060983E" w14:textId="11D3CECA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5,8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bottom"/>
          </w:tcPr>
          <w:p w14:paraId="64BD3300" w14:textId="6ACEA1A9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6,3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bottom"/>
          </w:tcPr>
          <w:p w14:paraId="495A74D8" w14:textId="2ECC22BB" w:rsidR="00E353E6" w:rsidRPr="000F2DE9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9%</w:t>
            </w:r>
          </w:p>
        </w:tc>
      </w:tr>
    </w:tbl>
    <w:p w14:paraId="10EF4812" w14:textId="77777777" w:rsidR="000D600C" w:rsidRPr="00040362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18"/>
          <w:szCs w:val="18"/>
        </w:rPr>
      </w:pPr>
    </w:p>
    <w:p w14:paraId="46AC968E" w14:textId="77777777" w:rsidR="000D600C" w:rsidRPr="00040362" w:rsidRDefault="000D600C" w:rsidP="000D600C">
      <w:pPr>
        <w:tabs>
          <w:tab w:val="left" w:pos="9498"/>
        </w:tabs>
        <w:ind w:right="2268"/>
        <w:jc w:val="both"/>
        <w:rPr>
          <w:rFonts w:cstheme="minorHAnsi"/>
          <w:color w:val="002677"/>
          <w:sz w:val="18"/>
          <w:szCs w:val="18"/>
        </w:rPr>
      </w:pPr>
      <w:r w:rsidRPr="00040362">
        <w:rPr>
          <w:rFonts w:cstheme="minorHAnsi"/>
          <w:color w:val="002677"/>
          <w:sz w:val="18"/>
          <w:szCs w:val="18"/>
        </w:rPr>
        <w:t xml:space="preserve">Note: </w:t>
      </w:r>
    </w:p>
    <w:p w14:paraId="6618B261" w14:textId="77777777" w:rsidR="000D600C" w:rsidRPr="00040362" w:rsidRDefault="000D600C" w:rsidP="000D600C">
      <w:pPr>
        <w:tabs>
          <w:tab w:val="left" w:pos="9498"/>
        </w:tabs>
        <w:ind w:right="2268"/>
        <w:jc w:val="both"/>
        <w:rPr>
          <w:rFonts w:cstheme="minorHAnsi"/>
          <w:color w:val="002677"/>
          <w:sz w:val="18"/>
          <w:szCs w:val="18"/>
        </w:rPr>
      </w:pPr>
      <w:r w:rsidRPr="00040362">
        <w:rPr>
          <w:rFonts w:cstheme="minorHAnsi"/>
          <w:color w:val="002677"/>
          <w:sz w:val="18"/>
          <w:szCs w:val="18"/>
          <w:vertAlign w:val="superscript"/>
        </w:rPr>
        <w:t>1</w:t>
      </w:r>
      <w:r w:rsidRPr="00040362">
        <w:rPr>
          <w:rFonts w:cstheme="minorHAnsi"/>
          <w:color w:val="002677"/>
          <w:sz w:val="18"/>
          <w:szCs w:val="18"/>
        </w:rPr>
        <w:t xml:space="preserve"> Excluding other operating income. </w:t>
      </w:r>
    </w:p>
    <w:p w14:paraId="5C80298C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3BC6D8CB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677C407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BA82A0B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0D61B83F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8E610F7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2D25C9E5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1DBF1AE7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777D90C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BCE85FD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1CF71294" w14:textId="5B45C122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3B30F0D7" w14:textId="77777777" w:rsidR="008F7BCD" w:rsidRDefault="008F7BCD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61E8F1B6" w14:textId="77777777" w:rsidR="009B0802" w:rsidRDefault="009B0802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D907F2C" w14:textId="0003D7CB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B57206">
        <w:rPr>
          <w:rFonts w:cstheme="minorHAnsi"/>
          <w:b/>
          <w:bCs/>
          <w:color w:val="002677"/>
          <w:sz w:val="22"/>
          <w:szCs w:val="22"/>
        </w:rPr>
        <w:t>Consolidated Income Statement</w:t>
      </w:r>
      <w:r w:rsidRPr="00271D94">
        <w:rPr>
          <w:rFonts w:cstheme="minorHAnsi"/>
          <w:b/>
          <w:bCs/>
          <w:color w:val="002677"/>
          <w:sz w:val="22"/>
          <w:szCs w:val="22"/>
          <w:lang w:val="en-US"/>
        </w:rPr>
        <w:t xml:space="preserve"> </w:t>
      </w:r>
      <w:r w:rsidR="008F7BCD">
        <w:rPr>
          <w:rFonts w:cstheme="minorHAnsi"/>
          <w:b/>
          <w:bCs/>
          <w:color w:val="002677"/>
          <w:sz w:val="22"/>
          <w:szCs w:val="22"/>
        </w:rPr>
        <w:t>–</w:t>
      </w:r>
      <w:r w:rsidRPr="00B57206">
        <w:rPr>
          <w:rFonts w:cstheme="minorHAnsi"/>
          <w:b/>
          <w:bCs/>
          <w:color w:val="002677"/>
          <w:sz w:val="22"/>
          <w:szCs w:val="22"/>
        </w:rPr>
        <w:t xml:space="preserve"> </w:t>
      </w:r>
      <w:r w:rsidR="008F7BCD">
        <w:rPr>
          <w:rFonts w:cstheme="minorHAnsi"/>
          <w:b/>
          <w:bCs/>
          <w:color w:val="002677"/>
          <w:sz w:val="22"/>
          <w:szCs w:val="22"/>
          <w:lang w:val="en-US"/>
        </w:rPr>
        <w:t>First Quarter 2024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276"/>
      </w:tblGrid>
      <w:tr w:rsidR="008F7BCD" w:rsidRPr="00B57206" w14:paraId="29F10BB5" w14:textId="77777777" w:rsidTr="008F7BCD">
        <w:trPr>
          <w:trHeight w:val="106"/>
        </w:trPr>
        <w:tc>
          <w:tcPr>
            <w:tcW w:w="5529" w:type="dxa"/>
            <w:tcBorders>
              <w:top w:val="single" w:sz="4" w:space="0" w:color="002677"/>
              <w:bottom w:val="single" w:sz="4" w:space="0" w:color="002677"/>
              <w:right w:val="nil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9D18D79" w14:textId="77777777" w:rsidR="008F7BCD" w:rsidRPr="00B57206" w:rsidRDefault="008F7BCD" w:rsidP="008F7BCD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  <w:lang w:val="en-US" w:eastAsia="el-GR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(in € mil.)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748C298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672D19BF" w14:textId="2D5E136B" w:rsidR="008F7BCD" w:rsidRPr="00B57206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79D4ADCD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48419678" w14:textId="6F1C8635" w:rsidR="008F7BCD" w:rsidRPr="00472A8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002677"/>
            <w:vAlign w:val="center"/>
          </w:tcPr>
          <w:p w14:paraId="17364A85" w14:textId="53D31D40" w:rsidR="008F7BCD" w:rsidRPr="00B57206" w:rsidRDefault="008F7BCD" w:rsidP="008F7BCD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%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change</w:t>
            </w:r>
          </w:p>
        </w:tc>
      </w:tr>
      <w:tr w:rsidR="00E353E6" w:rsidRPr="00B57206" w14:paraId="4193FD8B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F5AE4D0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Scheduled Services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8D307" w14:textId="5AB4658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right w:val="nil"/>
            </w:tcBorders>
            <w:shd w:val="clear" w:color="auto" w:fill="EFF2F9"/>
            <w:vAlign w:val="center"/>
          </w:tcPr>
          <w:p w14:paraId="5694C115" w14:textId="163B958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236,3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right w:val="nil"/>
            </w:tcBorders>
            <w:vAlign w:val="center"/>
          </w:tcPr>
          <w:p w14:paraId="23C0211E" w14:textId="2423C1E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18%</w:t>
            </w:r>
          </w:p>
        </w:tc>
      </w:tr>
      <w:tr w:rsidR="00E353E6" w:rsidRPr="00B57206" w14:paraId="54254418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572A44C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Charter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15F08A" w14:textId="5FE61EB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2,5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36B9E4C8" w14:textId="0579316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3,6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48A8FDF" w14:textId="5E6FE2B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47%</w:t>
            </w:r>
          </w:p>
        </w:tc>
      </w:tr>
      <w:tr w:rsidR="00E353E6" w:rsidRPr="00B57206" w14:paraId="3480BEE9" w14:textId="77777777" w:rsidTr="00511CA9">
        <w:trPr>
          <w:trHeight w:val="102"/>
        </w:trPr>
        <w:tc>
          <w:tcPr>
            <w:tcW w:w="552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4B22E93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Other</w:t>
            </w:r>
          </w:p>
        </w:tc>
        <w:tc>
          <w:tcPr>
            <w:tcW w:w="155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B19FC9" w14:textId="69A47D8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26,6</w:t>
            </w:r>
          </w:p>
        </w:tc>
        <w:tc>
          <w:tcPr>
            <w:tcW w:w="1701" w:type="dxa"/>
            <w:tcBorders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634BA873" w14:textId="7BDADD8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28,9</w:t>
            </w:r>
          </w:p>
        </w:tc>
        <w:tc>
          <w:tcPr>
            <w:tcW w:w="1276" w:type="dxa"/>
            <w:tcBorders>
              <w:left w:val="nil"/>
              <w:bottom w:val="single" w:sz="4" w:space="0" w:color="002677"/>
              <w:right w:val="nil"/>
            </w:tcBorders>
            <w:vAlign w:val="center"/>
          </w:tcPr>
          <w:p w14:paraId="688A3A16" w14:textId="08C6333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8%</w:t>
            </w:r>
          </w:p>
        </w:tc>
      </w:tr>
      <w:tr w:rsidR="00E353E6" w:rsidRPr="00B57206" w14:paraId="2BC2A029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A28B8CD" w14:textId="77777777" w:rsidR="00E353E6" w:rsidRPr="00B57206" w:rsidRDefault="00E353E6" w:rsidP="00E353E6">
            <w:pP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Total Revenue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46673E" w14:textId="4EEDB2E5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229,1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02F3760A" w14:textId="3F91BA96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268,8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104202B" w14:textId="7A5245FD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17%</w:t>
            </w:r>
          </w:p>
        </w:tc>
      </w:tr>
      <w:tr w:rsidR="00E353E6" w:rsidRPr="00B57206" w14:paraId="64674284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487125E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Other operating income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D8994F" w14:textId="4CDB447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7,9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right w:val="nil"/>
            </w:tcBorders>
            <w:shd w:val="clear" w:color="auto" w:fill="EFF2F9"/>
            <w:vAlign w:val="center"/>
          </w:tcPr>
          <w:p w14:paraId="0C7E3A87" w14:textId="6EF7898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6,6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right w:val="nil"/>
            </w:tcBorders>
            <w:vAlign w:val="center"/>
          </w:tcPr>
          <w:p w14:paraId="619803D0" w14:textId="7479FDF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-16%</w:t>
            </w:r>
          </w:p>
        </w:tc>
      </w:tr>
      <w:tr w:rsidR="00E353E6" w:rsidRPr="00B57206" w14:paraId="25DAA0D4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86F9C04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Employee benefits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C12C08" w14:textId="517DF5A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(30,5)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39C2FBEF" w14:textId="33128042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(38,0)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847CF2D" w14:textId="12AEC1AE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25%</w:t>
            </w:r>
          </w:p>
        </w:tc>
      </w:tr>
      <w:tr w:rsidR="00E353E6" w:rsidRPr="00B57206" w14:paraId="5368FFE8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F58B87C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Aircraft fuel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AA543A" w14:textId="6B30A7A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(62,8)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366DED1E" w14:textId="258F11B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(65,2)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22E6CA5" w14:textId="6888A41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4%</w:t>
            </w:r>
          </w:p>
        </w:tc>
      </w:tr>
      <w:tr w:rsidR="00E353E6" w:rsidRPr="00B57206" w14:paraId="53A49438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E2E4756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Aircraft maintenance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73A933" w14:textId="23CE4A1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(23,3)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002EE638" w14:textId="11B2FF0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(33,3)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24299E8" w14:textId="6728CE9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43%</w:t>
            </w:r>
          </w:p>
        </w:tc>
      </w:tr>
      <w:tr w:rsidR="00E353E6" w:rsidRPr="00B57206" w14:paraId="41E2BD04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BD71D01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Overflight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80A873" w14:textId="185B832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(12,6)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00CB0BA3" w14:textId="4E62F94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(15,4)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88A271D" w14:textId="3078992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22%</w:t>
            </w:r>
          </w:p>
        </w:tc>
      </w:tr>
      <w:tr w:rsidR="00E353E6" w:rsidRPr="00B57206" w14:paraId="690FCC8D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27A09C9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Ground handling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D63ADD" w14:textId="4C128B4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(15,9)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4B9CF7C4" w14:textId="7F8EDB2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(18,1)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FD9FEFB" w14:textId="1C7B1C4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14%</w:t>
            </w:r>
          </w:p>
        </w:tc>
      </w:tr>
      <w:tr w:rsidR="00E353E6" w:rsidRPr="00B57206" w14:paraId="1D2E5608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E271F88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Airport charges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F163DE" w14:textId="0F0FD16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(16,1)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10913616" w14:textId="7A8B7A7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(17,4)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DD495D4" w14:textId="2B140A72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8%</w:t>
            </w:r>
          </w:p>
        </w:tc>
      </w:tr>
      <w:tr w:rsidR="00E353E6" w:rsidRPr="00B57206" w14:paraId="0339A8C3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5A734B8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Catering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9E3914" w14:textId="78B3F19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(8,3)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3300A3FC" w14:textId="5A73286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(8,8)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A9FCDB8" w14:textId="18200A9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5%</w:t>
            </w:r>
          </w:p>
        </w:tc>
      </w:tr>
      <w:tr w:rsidR="00E353E6" w:rsidRPr="00B57206" w14:paraId="7D39B592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60BE5DA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Distribution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7DD210" w14:textId="72A9B26C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(13,8)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72F06F93" w14:textId="67610F1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(18,9)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CF54A59" w14:textId="0DBB9F0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37%</w:t>
            </w:r>
          </w:p>
        </w:tc>
      </w:tr>
      <w:tr w:rsidR="00E353E6" w:rsidRPr="00B57206" w14:paraId="6AA51256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9F7A28B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Marketing &amp; advertising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2375C1" w14:textId="0B4A495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(5,0)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17693CFD" w14:textId="09A05D9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(4,2)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B558183" w14:textId="0045DE5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-17%</w:t>
            </w:r>
          </w:p>
        </w:tc>
      </w:tr>
      <w:tr w:rsidR="00E353E6" w:rsidRPr="00B57206" w14:paraId="0783EF23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9BD6188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Other operating expenses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5374A6" w14:textId="0A87C2FC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(27,1)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09AEE0C5" w14:textId="34E9636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(20,9)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4F19E97" w14:textId="464A096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-23%</w:t>
            </w:r>
          </w:p>
        </w:tc>
      </w:tr>
      <w:tr w:rsidR="00E353E6" w:rsidRPr="00B57206" w14:paraId="61B33942" w14:textId="77777777" w:rsidTr="00511CA9">
        <w:trPr>
          <w:trHeight w:val="102"/>
        </w:trPr>
        <w:tc>
          <w:tcPr>
            <w:tcW w:w="552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B79CF01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Leases</w:t>
            </w:r>
          </w:p>
        </w:tc>
        <w:tc>
          <w:tcPr>
            <w:tcW w:w="155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74988" w14:textId="396BEF7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(2,1)</w:t>
            </w:r>
          </w:p>
        </w:tc>
        <w:tc>
          <w:tcPr>
            <w:tcW w:w="1701" w:type="dxa"/>
            <w:tcBorders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219CBD1A" w14:textId="0B68DF1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(2,0)</w:t>
            </w:r>
          </w:p>
        </w:tc>
        <w:tc>
          <w:tcPr>
            <w:tcW w:w="1276" w:type="dxa"/>
            <w:tcBorders>
              <w:left w:val="nil"/>
              <w:bottom w:val="single" w:sz="4" w:space="0" w:color="002677"/>
              <w:right w:val="nil"/>
            </w:tcBorders>
            <w:vAlign w:val="center"/>
          </w:tcPr>
          <w:p w14:paraId="150F47FE" w14:textId="21D9D97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-6%</w:t>
            </w:r>
          </w:p>
        </w:tc>
      </w:tr>
      <w:tr w:rsidR="00E353E6" w:rsidRPr="00B57206" w14:paraId="63DA0652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3A877E9" w14:textId="77777777" w:rsidR="00E353E6" w:rsidRPr="00B57206" w:rsidRDefault="00E353E6" w:rsidP="00E353E6">
            <w:pP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EBITDA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0D04CD" w14:textId="3FF71876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4B7E2089" w14:textId="0CA4A05C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40B30F78" w14:textId="387E41E7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72%</w:t>
            </w:r>
          </w:p>
        </w:tc>
      </w:tr>
      <w:tr w:rsidR="00E353E6" w:rsidRPr="00B57206" w14:paraId="5244DF96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E315C1E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Depreciation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A7CD0F" w14:textId="1467483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(34,0)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6E7269F9" w14:textId="19DC811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(40,3)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36587822" w14:textId="472FD3C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19%</w:t>
            </w:r>
          </w:p>
        </w:tc>
      </w:tr>
      <w:tr w:rsidR="00E353E6" w:rsidRPr="00B57206" w14:paraId="1AC064ED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7427228" w14:textId="77777777" w:rsidR="00E353E6" w:rsidRPr="00B57206" w:rsidRDefault="00E353E6" w:rsidP="00E353E6">
            <w:pP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l-GR" w:eastAsia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 xml:space="preserve">EBIT 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223B41" w14:textId="1DD93A65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(14,7)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3B47F478" w14:textId="2ACA9181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(7,2)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527A80DA" w14:textId="0CDA52B6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467AE337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1ECA45F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B57206">
              <w:rPr>
                <w:rFonts w:cstheme="minorHAnsi"/>
                <w:i/>
                <w:iCs/>
                <w:color w:val="002677"/>
                <w:sz w:val="22"/>
                <w:szCs w:val="22"/>
              </w:rPr>
              <w:t>EBIT margin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ACD44" w14:textId="5BCCED4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-6,4%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right w:val="nil"/>
            </w:tcBorders>
            <w:shd w:val="clear" w:color="auto" w:fill="EFF2F9"/>
            <w:vAlign w:val="center"/>
          </w:tcPr>
          <w:p w14:paraId="72519419" w14:textId="486D11A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-2,7%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right w:val="nil"/>
            </w:tcBorders>
            <w:vAlign w:val="center"/>
          </w:tcPr>
          <w:p w14:paraId="3EAB8096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</w:tr>
      <w:tr w:rsidR="00E353E6" w:rsidRPr="00B57206" w14:paraId="0D96886E" w14:textId="77777777" w:rsidTr="00511CA9">
        <w:trPr>
          <w:trHeight w:val="102"/>
        </w:trPr>
        <w:tc>
          <w:tcPr>
            <w:tcW w:w="552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36B8A52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Financial results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A667B8" w14:textId="7FE8E2D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(3,9)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EFF2F9"/>
            <w:vAlign w:val="center"/>
          </w:tcPr>
          <w:p w14:paraId="2DE5E878" w14:textId="37F4A36A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(18,8)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814095A" w14:textId="5D31794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0C73EC23" w14:textId="77777777" w:rsidTr="00511CA9">
        <w:trPr>
          <w:trHeight w:val="102"/>
        </w:trPr>
        <w:tc>
          <w:tcPr>
            <w:tcW w:w="552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4A8BC45" w14:textId="54E5B5F6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</w:t>
            </w:r>
            <w:r w:rsidRPr="009B0802">
              <w:rPr>
                <w:rFonts w:cstheme="minorHAnsi"/>
                <w:color w:val="002677"/>
                <w:sz w:val="22"/>
                <w:szCs w:val="22"/>
              </w:rPr>
              <w:t>Share of profit / (loss) in associates</w:t>
            </w:r>
          </w:p>
        </w:tc>
        <w:tc>
          <w:tcPr>
            <w:tcW w:w="155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4B7CE8" w14:textId="0011120A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1303A1F5" w14:textId="1E7A23F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(0,3)</w:t>
            </w:r>
          </w:p>
        </w:tc>
        <w:tc>
          <w:tcPr>
            <w:tcW w:w="1276" w:type="dxa"/>
            <w:tcBorders>
              <w:left w:val="nil"/>
              <w:bottom w:val="single" w:sz="4" w:space="0" w:color="002677"/>
              <w:right w:val="nil"/>
            </w:tcBorders>
            <w:vAlign w:val="center"/>
          </w:tcPr>
          <w:p w14:paraId="0D68E709" w14:textId="4552E15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6F5FFCA9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2FCADD7" w14:textId="77777777" w:rsidR="00E353E6" w:rsidRPr="00271D94" w:rsidRDefault="00E353E6" w:rsidP="00E353E6">
            <w:pP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n-US" w:eastAsia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Pre-tax Profit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  <w:lang w:val="en-US"/>
              </w:rPr>
              <w:t>/(Loss)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A5EEB2" w14:textId="231CD494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(18,6)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02C2D120" w14:textId="2E89FC71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(26,3)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06DD5D6B" w14:textId="4B254241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  <w:tr w:rsidR="00E353E6" w:rsidRPr="00B57206" w14:paraId="071323ED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06CD794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</w:pPr>
            <w:r w:rsidRPr="00B57206">
              <w:rPr>
                <w:rFonts w:cstheme="minorHAnsi"/>
                <w:i/>
                <w:iCs/>
                <w:color w:val="002677"/>
                <w:sz w:val="22"/>
                <w:szCs w:val="22"/>
              </w:rPr>
              <w:t>EBT margin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973017" w14:textId="0CE01F0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-8,1%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right w:val="nil"/>
            </w:tcBorders>
            <w:shd w:val="clear" w:color="auto" w:fill="EFF2F9"/>
            <w:vAlign w:val="center"/>
          </w:tcPr>
          <w:p w14:paraId="151CCEB4" w14:textId="0DB215B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-9,8%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right w:val="nil"/>
            </w:tcBorders>
            <w:vAlign w:val="center"/>
          </w:tcPr>
          <w:p w14:paraId="0D329C0C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</w:tr>
      <w:tr w:rsidR="00E353E6" w:rsidRPr="00B57206" w14:paraId="106FE0C7" w14:textId="77777777" w:rsidTr="00511CA9">
        <w:trPr>
          <w:trHeight w:val="102"/>
        </w:trPr>
        <w:tc>
          <w:tcPr>
            <w:tcW w:w="552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455F519" w14:textId="77777777" w:rsidR="00E353E6" w:rsidRPr="00B57206" w:rsidRDefault="00E353E6" w:rsidP="00E353E6">
            <w:pPr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Income Tax</w:t>
            </w:r>
          </w:p>
        </w:tc>
        <w:tc>
          <w:tcPr>
            <w:tcW w:w="1559" w:type="dxa"/>
            <w:tcBorders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A863D2" w14:textId="4932761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4,2</w:t>
            </w:r>
          </w:p>
        </w:tc>
        <w:tc>
          <w:tcPr>
            <w:tcW w:w="1701" w:type="dxa"/>
            <w:tcBorders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070A61C9" w14:textId="18815CD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5,3</w:t>
            </w:r>
          </w:p>
        </w:tc>
        <w:tc>
          <w:tcPr>
            <w:tcW w:w="1276" w:type="dxa"/>
            <w:tcBorders>
              <w:left w:val="nil"/>
              <w:bottom w:val="single" w:sz="4" w:space="0" w:color="002677"/>
              <w:right w:val="nil"/>
            </w:tcBorders>
            <w:vAlign w:val="center"/>
          </w:tcPr>
          <w:p w14:paraId="3455FE1D" w14:textId="150268FA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27%</w:t>
            </w:r>
          </w:p>
        </w:tc>
      </w:tr>
      <w:tr w:rsidR="00E353E6" w:rsidRPr="00B57206" w14:paraId="7B579ACC" w14:textId="77777777" w:rsidTr="00511CA9">
        <w:trPr>
          <w:trHeight w:val="102"/>
        </w:trPr>
        <w:tc>
          <w:tcPr>
            <w:tcW w:w="552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F0EEF49" w14:textId="77777777" w:rsidR="00E353E6" w:rsidRPr="00B57206" w:rsidRDefault="00E353E6" w:rsidP="00E353E6">
            <w:pPr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val="en-US" w:eastAsia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Net Profit</w:t>
            </w:r>
            <w:r>
              <w:rPr>
                <w:rFonts w:cstheme="minorHAnsi"/>
                <w:b/>
                <w:bCs/>
                <w:color w:val="002677"/>
                <w:sz w:val="22"/>
                <w:szCs w:val="22"/>
              </w:rPr>
              <w:t>/(Loss)</w:t>
            </w: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 xml:space="preserve"> after tax </w:t>
            </w:r>
          </w:p>
        </w:tc>
        <w:tc>
          <w:tcPr>
            <w:tcW w:w="1559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FE97D0" w14:textId="4B81278F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(14,4)</w:t>
            </w:r>
          </w:p>
        </w:tc>
        <w:tc>
          <w:tcPr>
            <w:tcW w:w="1701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shd w:val="clear" w:color="auto" w:fill="EFF2F9"/>
            <w:vAlign w:val="center"/>
          </w:tcPr>
          <w:p w14:paraId="4412EDAA" w14:textId="47924A1B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4D212D">
              <w:rPr>
                <w:rFonts w:ascii="Calibri" w:eastAsia="Times New Roman" w:hAnsi="Calibri" w:cs="Calibri"/>
                <w:b/>
                <w:bCs/>
                <w:color w:val="243587"/>
                <w:sz w:val="22"/>
                <w:szCs w:val="22"/>
                <w:lang w:eastAsia="el-GR"/>
              </w:rPr>
              <w:t>(21,0)</w:t>
            </w:r>
          </w:p>
        </w:tc>
        <w:tc>
          <w:tcPr>
            <w:tcW w:w="1276" w:type="dxa"/>
            <w:tcBorders>
              <w:top w:val="single" w:sz="4" w:space="0" w:color="002677"/>
              <w:left w:val="nil"/>
              <w:bottom w:val="single" w:sz="4" w:space="0" w:color="002677"/>
              <w:right w:val="nil"/>
            </w:tcBorders>
            <w:vAlign w:val="center"/>
          </w:tcPr>
          <w:p w14:paraId="25346A33" w14:textId="5DB05B5A" w:rsidR="00E353E6" w:rsidRPr="00B57206" w:rsidRDefault="00E353E6" w:rsidP="00E353E6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</w:t>
            </w:r>
          </w:p>
        </w:tc>
      </w:tr>
    </w:tbl>
    <w:p w14:paraId="6ADA7DA4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5B12EE65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00506F3D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28C822C5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98ED522" w14:textId="77777777" w:rsidR="009B0802" w:rsidRPr="00B57206" w:rsidRDefault="009B0802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20EAAE78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6633FDB8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3996AA9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F9DC809" w14:textId="3A08F986" w:rsidR="000D600C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B57206">
        <w:rPr>
          <w:rFonts w:cstheme="minorHAnsi"/>
          <w:b/>
          <w:bCs/>
          <w:color w:val="002677"/>
          <w:sz w:val="22"/>
          <w:szCs w:val="22"/>
        </w:rPr>
        <w:t>Balance Sheet Aegean Group- Summary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630"/>
        <w:gridCol w:w="1630"/>
      </w:tblGrid>
      <w:tr w:rsidR="000D600C" w:rsidRPr="00B57206" w14:paraId="2F497053" w14:textId="77777777" w:rsidTr="000D600C">
        <w:trPr>
          <w:trHeight w:val="226"/>
          <w:jc w:val="center"/>
        </w:trPr>
        <w:tc>
          <w:tcPr>
            <w:tcW w:w="6946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1D71889" w14:textId="77777777" w:rsidR="000D600C" w:rsidRPr="00B57206" w:rsidRDefault="000D600C" w:rsidP="000D600C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(in € mil.)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43D50EAB" w14:textId="4D3B184B" w:rsidR="000D600C" w:rsidRPr="00B57206" w:rsidRDefault="000D600C" w:rsidP="000D600C">
            <w:pPr>
              <w:spacing w:line="280" w:lineRule="exact"/>
              <w:jc w:val="center"/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74469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31.12.</w:t>
            </w:r>
            <w:r w:rsidRPr="0074469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202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5FA09A39" w14:textId="7F4B7410" w:rsidR="000D600C" w:rsidRPr="00B57206" w:rsidRDefault="000D600C" w:rsidP="000D600C">
            <w:pPr>
              <w:spacing w:line="280" w:lineRule="exact"/>
              <w:jc w:val="center"/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</w:pPr>
            <w:r w:rsidRPr="0074469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31.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03</w:t>
            </w:r>
            <w:r w:rsidRPr="0074469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.</w:t>
            </w:r>
            <w:r w:rsidRPr="0074469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202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4</w:t>
            </w:r>
          </w:p>
        </w:tc>
      </w:tr>
      <w:tr w:rsidR="000D600C" w:rsidRPr="00B57206" w14:paraId="5CA7B1EE" w14:textId="77777777" w:rsidTr="000D600C">
        <w:trPr>
          <w:trHeight w:hRule="exact" w:val="87"/>
          <w:jc w:val="center"/>
        </w:trPr>
        <w:tc>
          <w:tcPr>
            <w:tcW w:w="6946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2F66DE0B" w14:textId="77777777" w:rsidR="000D600C" w:rsidRPr="00B57206" w:rsidRDefault="000D600C" w:rsidP="000D600C">
            <w:pPr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2677"/>
            </w:tcBorders>
            <w:vAlign w:val="center"/>
          </w:tcPr>
          <w:p w14:paraId="18612730" w14:textId="77777777" w:rsidR="000D600C" w:rsidRPr="00B57206" w:rsidRDefault="000D600C" w:rsidP="000D600C">
            <w:pPr>
              <w:jc w:val="center"/>
              <w:textAlignment w:val="bottom"/>
              <w:rPr>
                <w:rFonts w:eastAsia="Calibri" w:cstheme="minorHAnsi"/>
                <w:color w:val="002677"/>
                <w:kern w:val="24"/>
                <w:sz w:val="22"/>
                <w:szCs w:val="22"/>
                <w:lang w:val="el-GR" w:eastAsia="el-GR"/>
              </w:rPr>
            </w:pPr>
          </w:p>
        </w:tc>
        <w:tc>
          <w:tcPr>
            <w:tcW w:w="1630" w:type="dxa"/>
            <w:tcBorders>
              <w:top w:val="single" w:sz="4" w:space="0" w:color="002677"/>
            </w:tcBorders>
            <w:shd w:val="clear" w:color="auto" w:fill="EFF2F9"/>
            <w:vAlign w:val="center"/>
          </w:tcPr>
          <w:p w14:paraId="62291216" w14:textId="77777777" w:rsidR="000D600C" w:rsidRPr="00B57206" w:rsidRDefault="000D600C" w:rsidP="000D600C">
            <w:pPr>
              <w:jc w:val="center"/>
              <w:textAlignment w:val="bottom"/>
              <w:rPr>
                <w:rFonts w:eastAsia="Calibri" w:cstheme="minorHAnsi"/>
                <w:color w:val="002677"/>
                <w:kern w:val="24"/>
                <w:sz w:val="22"/>
                <w:szCs w:val="22"/>
                <w:lang w:val="el-GR" w:eastAsia="el-GR"/>
              </w:rPr>
            </w:pPr>
          </w:p>
        </w:tc>
      </w:tr>
      <w:tr w:rsidR="00C93F9B" w:rsidRPr="00B57206" w14:paraId="53B11CEC" w14:textId="77777777" w:rsidTr="00511CA9">
        <w:trPr>
          <w:trHeight w:val="256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61CC6E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Total Fixed Assets</w:t>
            </w:r>
          </w:p>
        </w:tc>
        <w:tc>
          <w:tcPr>
            <w:tcW w:w="1630" w:type="dxa"/>
            <w:vAlign w:val="bottom"/>
          </w:tcPr>
          <w:p w14:paraId="4AEC710D" w14:textId="09C3E270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1.474,5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6BB9D86F" w14:textId="3EFC76B8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1.571,7</w:t>
            </w:r>
          </w:p>
        </w:tc>
      </w:tr>
      <w:tr w:rsidR="00C93F9B" w:rsidRPr="00B57206" w14:paraId="495E83ED" w14:textId="77777777" w:rsidTr="00511CA9">
        <w:trPr>
          <w:trHeight w:val="260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CAF7AA7" w14:textId="6774D552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Cash &amp; Cash Equivalents</w:t>
            </w:r>
            <w:r w:rsidRPr="00B57206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30" w:type="dxa"/>
            <w:vAlign w:val="bottom"/>
          </w:tcPr>
          <w:p w14:paraId="0301283F" w14:textId="59B0B332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576,2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5E71A89D" w14:textId="62FCFFB0" w:rsidR="00C93F9B" w:rsidRPr="00C8009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615,2</w:t>
            </w:r>
          </w:p>
        </w:tc>
      </w:tr>
      <w:tr w:rsidR="00C93F9B" w:rsidRPr="00B57206" w14:paraId="5BEDF007" w14:textId="77777777" w:rsidTr="00511CA9">
        <w:trPr>
          <w:trHeight w:val="255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F7F35D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Financial Assets Available for Sale</w:t>
            </w:r>
            <w:r w:rsidRPr="00B57206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30" w:type="dxa"/>
            <w:vAlign w:val="bottom"/>
          </w:tcPr>
          <w:p w14:paraId="48400F93" w14:textId="11B85711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133,1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5CA25D9B" w14:textId="1C68DCB5" w:rsidR="00C93F9B" w:rsidRPr="00C8009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11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  <w:t>3</w:t>
            </w: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,8</w:t>
            </w:r>
          </w:p>
        </w:tc>
      </w:tr>
      <w:tr w:rsidR="00C93F9B" w:rsidRPr="00B57206" w14:paraId="2F9425B6" w14:textId="77777777" w:rsidTr="00511CA9">
        <w:trPr>
          <w:trHeight w:val="307"/>
          <w:jc w:val="center"/>
        </w:trPr>
        <w:tc>
          <w:tcPr>
            <w:tcW w:w="6946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21E2BE3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Other Current Assets</w:t>
            </w:r>
          </w:p>
        </w:tc>
        <w:tc>
          <w:tcPr>
            <w:tcW w:w="1630" w:type="dxa"/>
            <w:tcBorders>
              <w:bottom w:val="single" w:sz="4" w:space="0" w:color="002677"/>
            </w:tcBorders>
            <w:vAlign w:val="bottom"/>
          </w:tcPr>
          <w:p w14:paraId="6A867A28" w14:textId="40047C12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228,8</w:t>
            </w:r>
          </w:p>
        </w:tc>
        <w:tc>
          <w:tcPr>
            <w:tcW w:w="1630" w:type="dxa"/>
            <w:tcBorders>
              <w:bottom w:val="single" w:sz="4" w:space="0" w:color="002677"/>
            </w:tcBorders>
            <w:shd w:val="clear" w:color="auto" w:fill="EFF2F9"/>
            <w:vAlign w:val="bottom"/>
          </w:tcPr>
          <w:p w14:paraId="44093071" w14:textId="53B7A8A3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25</w:t>
            </w:r>
            <w:r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  <w:t>6</w:t>
            </w:r>
            <w:r w:rsidRPr="00920E02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,2</w:t>
            </w:r>
          </w:p>
        </w:tc>
      </w:tr>
      <w:tr w:rsidR="00C93F9B" w:rsidRPr="00B57206" w14:paraId="68E31E60" w14:textId="77777777" w:rsidTr="00511CA9">
        <w:trPr>
          <w:trHeight w:val="295"/>
          <w:jc w:val="center"/>
        </w:trPr>
        <w:tc>
          <w:tcPr>
            <w:tcW w:w="6946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177759B" w14:textId="77777777" w:rsidR="00C93F9B" w:rsidRPr="00B57206" w:rsidRDefault="00C93F9B" w:rsidP="00C93F9B">
            <w:pPr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Total Assets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vAlign w:val="bottom"/>
          </w:tcPr>
          <w:p w14:paraId="3EE7A7E1" w14:textId="2A925B6E" w:rsidR="00C93F9B" w:rsidRPr="00B57206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2.412,7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EFF2F9"/>
            <w:vAlign w:val="bottom"/>
          </w:tcPr>
          <w:p w14:paraId="58204425" w14:textId="2EDA5A86" w:rsidR="00C93F9B" w:rsidRPr="00B57206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0B681C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2.556,8</w:t>
            </w:r>
          </w:p>
        </w:tc>
      </w:tr>
      <w:tr w:rsidR="00C93F9B" w:rsidRPr="00B57206" w14:paraId="70A3FF70" w14:textId="77777777" w:rsidTr="00511CA9">
        <w:trPr>
          <w:trHeight w:val="303"/>
          <w:jc w:val="center"/>
        </w:trPr>
        <w:tc>
          <w:tcPr>
            <w:tcW w:w="6946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C112808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Total Equity</w:t>
            </w:r>
          </w:p>
        </w:tc>
        <w:tc>
          <w:tcPr>
            <w:tcW w:w="1630" w:type="dxa"/>
            <w:tcBorders>
              <w:top w:val="single" w:sz="4" w:space="0" w:color="002677"/>
            </w:tcBorders>
            <w:vAlign w:val="bottom"/>
          </w:tcPr>
          <w:p w14:paraId="6939AEF8" w14:textId="7D312147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418,8</w:t>
            </w:r>
          </w:p>
        </w:tc>
        <w:tc>
          <w:tcPr>
            <w:tcW w:w="1630" w:type="dxa"/>
            <w:tcBorders>
              <w:top w:val="single" w:sz="4" w:space="0" w:color="002677"/>
            </w:tcBorders>
            <w:shd w:val="clear" w:color="auto" w:fill="EFF2F9"/>
            <w:vAlign w:val="bottom"/>
          </w:tcPr>
          <w:p w14:paraId="64FA47DE" w14:textId="2547243F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AC5267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417,3</w:t>
            </w:r>
          </w:p>
        </w:tc>
      </w:tr>
      <w:tr w:rsidR="00C93F9B" w:rsidRPr="00B57206" w14:paraId="339421C2" w14:textId="77777777" w:rsidTr="00511CA9">
        <w:trPr>
          <w:trHeight w:val="311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E8B6C30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Lease Liabilities</w:t>
            </w:r>
          </w:p>
        </w:tc>
        <w:tc>
          <w:tcPr>
            <w:tcW w:w="1630" w:type="dxa"/>
            <w:vAlign w:val="bottom"/>
          </w:tcPr>
          <w:p w14:paraId="25C25B0F" w14:textId="662308F5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901,2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2C2C1E53" w14:textId="62057974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AC5267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970,7</w:t>
            </w:r>
          </w:p>
        </w:tc>
      </w:tr>
      <w:tr w:rsidR="00C93F9B" w:rsidRPr="00B57206" w14:paraId="3EFED6F5" w14:textId="77777777" w:rsidTr="00511CA9">
        <w:trPr>
          <w:trHeight w:val="299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4DFCD84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Loans</w:t>
            </w:r>
          </w:p>
        </w:tc>
        <w:tc>
          <w:tcPr>
            <w:tcW w:w="1630" w:type="dxa"/>
            <w:vAlign w:val="bottom"/>
          </w:tcPr>
          <w:p w14:paraId="28DC2A14" w14:textId="3AC47105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220,3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2147150A" w14:textId="6B8DCE32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AC5267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218,3</w:t>
            </w:r>
          </w:p>
        </w:tc>
      </w:tr>
      <w:tr w:rsidR="00C93F9B" w:rsidRPr="00B57206" w14:paraId="4316B594" w14:textId="77777777" w:rsidTr="00511CA9">
        <w:trPr>
          <w:trHeight w:val="269"/>
          <w:jc w:val="center"/>
        </w:trPr>
        <w:tc>
          <w:tcPr>
            <w:tcW w:w="6946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18942EE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Other Non-Current Liabilities</w:t>
            </w:r>
          </w:p>
        </w:tc>
        <w:tc>
          <w:tcPr>
            <w:tcW w:w="1630" w:type="dxa"/>
            <w:vAlign w:val="bottom"/>
          </w:tcPr>
          <w:p w14:paraId="19D97AB5" w14:textId="50969884" w:rsidR="00C93F9B" w:rsidRPr="0074469D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119,6</w:t>
            </w:r>
          </w:p>
        </w:tc>
        <w:tc>
          <w:tcPr>
            <w:tcW w:w="1630" w:type="dxa"/>
            <w:shd w:val="clear" w:color="auto" w:fill="EFF2F9"/>
            <w:vAlign w:val="bottom"/>
          </w:tcPr>
          <w:p w14:paraId="474527DA" w14:textId="2910C18D" w:rsidR="00C93F9B" w:rsidRPr="00D35150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AC5267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117,1</w:t>
            </w:r>
          </w:p>
        </w:tc>
      </w:tr>
      <w:tr w:rsidR="00C93F9B" w:rsidRPr="00B57206" w14:paraId="4ECBE65A" w14:textId="77777777" w:rsidTr="00511CA9">
        <w:trPr>
          <w:trHeight w:val="269"/>
          <w:jc w:val="center"/>
        </w:trPr>
        <w:tc>
          <w:tcPr>
            <w:tcW w:w="6946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940D15F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>
              <w:rPr>
                <w:rFonts w:cstheme="minorHAnsi"/>
                <w:color w:val="002677"/>
                <w:sz w:val="22"/>
                <w:szCs w:val="22"/>
              </w:rPr>
              <w:t>Other Current Liabilities</w:t>
            </w:r>
          </w:p>
        </w:tc>
        <w:tc>
          <w:tcPr>
            <w:tcW w:w="1630" w:type="dxa"/>
            <w:tcBorders>
              <w:bottom w:val="single" w:sz="4" w:space="0" w:color="002677"/>
            </w:tcBorders>
            <w:vAlign w:val="bottom"/>
          </w:tcPr>
          <w:p w14:paraId="26AD04DA" w14:textId="1AC16CD8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752,7</w:t>
            </w:r>
          </w:p>
        </w:tc>
        <w:tc>
          <w:tcPr>
            <w:tcW w:w="1630" w:type="dxa"/>
            <w:tcBorders>
              <w:bottom w:val="single" w:sz="4" w:space="0" w:color="002677"/>
            </w:tcBorders>
            <w:shd w:val="clear" w:color="auto" w:fill="EFF2F9"/>
            <w:vAlign w:val="bottom"/>
          </w:tcPr>
          <w:p w14:paraId="569FE2C8" w14:textId="0FD52CE4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AC5267"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  <w:t>833,3</w:t>
            </w:r>
          </w:p>
        </w:tc>
      </w:tr>
      <w:tr w:rsidR="00C93F9B" w:rsidRPr="00B57206" w14:paraId="18D55EFF" w14:textId="77777777" w:rsidTr="00511CA9">
        <w:trPr>
          <w:trHeight w:val="289"/>
          <w:jc w:val="center"/>
        </w:trPr>
        <w:tc>
          <w:tcPr>
            <w:tcW w:w="6946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F50E069" w14:textId="77777777" w:rsidR="00C93F9B" w:rsidRPr="00B57206" w:rsidRDefault="00C93F9B" w:rsidP="00C93F9B">
            <w:pPr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Total Equity and Liabilities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vAlign w:val="bottom"/>
          </w:tcPr>
          <w:p w14:paraId="5CBE148E" w14:textId="1547A47E" w:rsidR="00C93F9B" w:rsidRPr="00B57206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1666A9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2.412,7</w:t>
            </w:r>
          </w:p>
        </w:tc>
        <w:tc>
          <w:tcPr>
            <w:tcW w:w="1630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EFF2F9"/>
            <w:vAlign w:val="bottom"/>
          </w:tcPr>
          <w:p w14:paraId="03276188" w14:textId="1B9115D3" w:rsidR="00C93F9B" w:rsidRPr="00B57206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0B681C"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  <w:t>2.556,8</w:t>
            </w:r>
          </w:p>
        </w:tc>
      </w:tr>
    </w:tbl>
    <w:p w14:paraId="4CAA2625" w14:textId="77777777" w:rsidR="000D600C" w:rsidRPr="00B57206" w:rsidRDefault="000D600C" w:rsidP="000D600C">
      <w:pPr>
        <w:jc w:val="both"/>
        <w:rPr>
          <w:rFonts w:cstheme="minorHAnsi"/>
          <w:color w:val="002677"/>
          <w:sz w:val="22"/>
          <w:szCs w:val="22"/>
        </w:rPr>
      </w:pPr>
    </w:p>
    <w:p w14:paraId="36862B30" w14:textId="7E9D7BB6" w:rsidR="000D600C" w:rsidRPr="006B4765" w:rsidRDefault="000D600C" w:rsidP="000D600C">
      <w:pPr>
        <w:jc w:val="both"/>
        <w:rPr>
          <w:rFonts w:cstheme="minorHAnsi"/>
          <w:color w:val="002677"/>
          <w:sz w:val="18"/>
          <w:szCs w:val="18"/>
        </w:rPr>
      </w:pPr>
      <w:r w:rsidRPr="00040362">
        <w:rPr>
          <w:rFonts w:cstheme="minorHAnsi"/>
          <w:color w:val="002677"/>
          <w:sz w:val="18"/>
          <w:szCs w:val="18"/>
        </w:rPr>
        <w:t xml:space="preserve">Notes: </w:t>
      </w:r>
      <w:r w:rsidRPr="00040362">
        <w:rPr>
          <w:rFonts w:cstheme="minorHAnsi"/>
          <w:color w:val="002677"/>
          <w:sz w:val="18"/>
          <w:szCs w:val="18"/>
        </w:rPr>
        <w:br/>
      </w:r>
      <w:r w:rsidRPr="00040362">
        <w:rPr>
          <w:rFonts w:cstheme="minorHAnsi"/>
          <w:color w:val="002677"/>
          <w:sz w:val="18"/>
          <w:szCs w:val="18"/>
          <w:vertAlign w:val="superscript"/>
        </w:rPr>
        <w:t>1</w:t>
      </w:r>
      <w:r w:rsidRPr="00040362">
        <w:rPr>
          <w:rFonts w:cstheme="minorHAnsi"/>
          <w:color w:val="002677"/>
          <w:sz w:val="18"/>
          <w:szCs w:val="18"/>
        </w:rPr>
        <w:t xml:space="preserve"> Includes restricted cash of €0,5 mil. on 31/12/2023</w:t>
      </w:r>
      <w:r w:rsidR="008F7BCD" w:rsidRPr="00040362">
        <w:rPr>
          <w:rFonts w:cstheme="minorHAnsi"/>
          <w:color w:val="002677"/>
          <w:sz w:val="18"/>
          <w:szCs w:val="18"/>
        </w:rPr>
        <w:t xml:space="preserve"> and </w:t>
      </w:r>
      <w:r w:rsidR="006B4765" w:rsidRPr="00040362">
        <w:rPr>
          <w:rFonts w:cstheme="minorHAnsi"/>
          <w:color w:val="002677"/>
          <w:sz w:val="18"/>
          <w:szCs w:val="18"/>
        </w:rPr>
        <w:t xml:space="preserve">€0,5 </w:t>
      </w:r>
      <w:r w:rsidR="008F7BCD" w:rsidRPr="006B4765">
        <w:rPr>
          <w:rFonts w:cstheme="minorHAnsi"/>
          <w:color w:val="002677"/>
          <w:sz w:val="18"/>
          <w:szCs w:val="18"/>
        </w:rPr>
        <w:t>mil.</w:t>
      </w:r>
      <w:r w:rsidR="008F7BCD" w:rsidRPr="00040362">
        <w:rPr>
          <w:rFonts w:cstheme="minorHAnsi"/>
          <w:color w:val="002677"/>
          <w:sz w:val="18"/>
          <w:szCs w:val="18"/>
        </w:rPr>
        <w:t xml:space="preserve"> on 31/03/2024</w:t>
      </w:r>
      <w:r w:rsidRPr="006B4765">
        <w:rPr>
          <w:rFonts w:cstheme="minorHAnsi"/>
          <w:color w:val="002677"/>
          <w:sz w:val="18"/>
          <w:szCs w:val="18"/>
        </w:rPr>
        <w:t>.</w:t>
      </w:r>
    </w:p>
    <w:p w14:paraId="5433B0CB" w14:textId="2E79FE61" w:rsidR="000D600C" w:rsidRPr="006B4765" w:rsidRDefault="000D600C" w:rsidP="000D600C">
      <w:pPr>
        <w:jc w:val="both"/>
        <w:rPr>
          <w:rFonts w:cstheme="minorHAnsi"/>
          <w:color w:val="002677"/>
          <w:sz w:val="18"/>
          <w:szCs w:val="18"/>
        </w:rPr>
      </w:pPr>
      <w:r w:rsidRPr="006B4765">
        <w:rPr>
          <w:rFonts w:cstheme="minorHAnsi"/>
          <w:color w:val="002677"/>
          <w:sz w:val="18"/>
          <w:szCs w:val="18"/>
          <w:vertAlign w:val="superscript"/>
        </w:rPr>
        <w:t>2</w:t>
      </w:r>
      <w:r w:rsidRPr="006B4765">
        <w:rPr>
          <w:rFonts w:cstheme="minorHAnsi"/>
          <w:color w:val="002677"/>
          <w:sz w:val="18"/>
          <w:szCs w:val="18"/>
        </w:rPr>
        <w:t xml:space="preserve"> Includes pledged fixed income securities of €10,6 mil. on 31/12/2023</w:t>
      </w:r>
      <w:r w:rsidR="008F7BCD" w:rsidRPr="006B4765">
        <w:rPr>
          <w:rFonts w:cstheme="minorHAnsi"/>
          <w:color w:val="002677"/>
          <w:sz w:val="18"/>
          <w:szCs w:val="18"/>
        </w:rPr>
        <w:t xml:space="preserve"> and </w:t>
      </w:r>
      <w:r w:rsidR="006B4765" w:rsidRPr="006B4765">
        <w:rPr>
          <w:rFonts w:cstheme="minorHAnsi"/>
          <w:color w:val="002677"/>
          <w:sz w:val="18"/>
          <w:szCs w:val="18"/>
        </w:rPr>
        <w:t xml:space="preserve">€10,6 </w:t>
      </w:r>
      <w:r w:rsidR="008F7BCD" w:rsidRPr="006B4765">
        <w:rPr>
          <w:rFonts w:cstheme="minorHAnsi"/>
          <w:color w:val="002677"/>
          <w:sz w:val="18"/>
          <w:szCs w:val="18"/>
        </w:rPr>
        <w:t>mil. on 31/03/2024</w:t>
      </w:r>
      <w:r w:rsidRPr="006B4765">
        <w:rPr>
          <w:rFonts w:cstheme="minorHAnsi"/>
          <w:color w:val="002677"/>
          <w:sz w:val="18"/>
          <w:szCs w:val="18"/>
        </w:rPr>
        <w:t xml:space="preserve">. </w:t>
      </w:r>
    </w:p>
    <w:p w14:paraId="7D0E14D6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  <w:lang w:val="en-US"/>
        </w:rPr>
      </w:pPr>
    </w:p>
    <w:p w14:paraId="0F7B3E93" w14:textId="77777777" w:rsidR="0072573A" w:rsidRDefault="0072573A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196EA6B6" w14:textId="77777777" w:rsidR="009B0802" w:rsidRDefault="009B0802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</w:p>
    <w:p w14:paraId="0F423169" w14:textId="17AAD35C" w:rsidR="000D600C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B57206">
        <w:rPr>
          <w:rFonts w:cstheme="minorHAnsi"/>
          <w:b/>
          <w:bCs/>
          <w:color w:val="002677"/>
          <w:sz w:val="22"/>
          <w:szCs w:val="22"/>
        </w:rPr>
        <w:t>Cash Flow Aegean Group</w:t>
      </w:r>
      <w:r>
        <w:rPr>
          <w:rFonts w:cstheme="minorHAnsi"/>
          <w:b/>
          <w:bCs/>
          <w:color w:val="002677"/>
          <w:sz w:val="22"/>
          <w:szCs w:val="22"/>
        </w:rPr>
        <w:t xml:space="preserve"> </w:t>
      </w:r>
      <w:r w:rsidRPr="00B57206">
        <w:rPr>
          <w:rFonts w:cstheme="minorHAnsi"/>
          <w:b/>
          <w:bCs/>
          <w:color w:val="002677"/>
          <w:sz w:val="22"/>
          <w:szCs w:val="22"/>
        </w:rPr>
        <w:t>- Summary</w:t>
      </w:r>
    </w:p>
    <w:tbl>
      <w:tblPr>
        <w:tblW w:w="10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418"/>
        <w:gridCol w:w="1567"/>
      </w:tblGrid>
      <w:tr w:rsidR="000D600C" w:rsidRPr="00B57206" w14:paraId="4ED1490F" w14:textId="77777777" w:rsidTr="000D600C">
        <w:trPr>
          <w:trHeight w:val="202"/>
          <w:jc w:val="center"/>
        </w:trPr>
        <w:tc>
          <w:tcPr>
            <w:tcW w:w="7229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8C46726" w14:textId="77777777" w:rsidR="000D600C" w:rsidRPr="00B57206" w:rsidRDefault="000D600C" w:rsidP="000D600C">
            <w:pP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(in € mil.)</w:t>
            </w:r>
          </w:p>
        </w:tc>
        <w:tc>
          <w:tcPr>
            <w:tcW w:w="1418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41B5CB09" w14:textId="1F5A353B" w:rsidR="000D600C" w:rsidRPr="00B57206" w:rsidRDefault="000D600C" w:rsidP="000D600C">
            <w:pPr>
              <w:spacing w:line="280" w:lineRule="exact"/>
              <w:jc w:val="center"/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31.</w:t>
            </w:r>
            <w:r w:rsidR="00AA18B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03</w:t>
            </w: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.</w:t>
            </w: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202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3AF4E1" w14:textId="4D2C79A1" w:rsidR="000D600C" w:rsidRPr="00B57206" w:rsidRDefault="000D600C" w:rsidP="000D600C">
            <w:pPr>
              <w:spacing w:line="280" w:lineRule="exact"/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31.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03</w:t>
            </w: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l-GR"/>
              </w:rPr>
              <w:t>.</w:t>
            </w:r>
            <w:r w:rsidRPr="00B57206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202</w:t>
            </w:r>
            <w:r w:rsidR="008F7BCD"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  <w:t>4</w:t>
            </w:r>
          </w:p>
        </w:tc>
      </w:tr>
      <w:tr w:rsidR="000D600C" w:rsidRPr="00B57206" w14:paraId="40D6A4AB" w14:textId="77777777" w:rsidTr="000D600C">
        <w:trPr>
          <w:trHeight w:hRule="exact" w:val="45"/>
          <w:jc w:val="center"/>
        </w:trPr>
        <w:tc>
          <w:tcPr>
            <w:tcW w:w="7229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DEC9EE3" w14:textId="77777777" w:rsidR="000D600C" w:rsidRPr="00B57206" w:rsidRDefault="000D600C" w:rsidP="000D600C">
            <w:pPr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2677"/>
            </w:tcBorders>
            <w:vAlign w:val="center"/>
          </w:tcPr>
          <w:p w14:paraId="09984D86" w14:textId="77777777" w:rsidR="000D600C" w:rsidRPr="00B57206" w:rsidRDefault="000D600C" w:rsidP="000D600C">
            <w:pPr>
              <w:jc w:val="center"/>
              <w:textAlignment w:val="bottom"/>
              <w:rPr>
                <w:rFonts w:eastAsia="Calibri" w:cstheme="minorHAnsi"/>
                <w:color w:val="002677"/>
                <w:kern w:val="24"/>
                <w:sz w:val="22"/>
                <w:szCs w:val="22"/>
                <w:lang w:val="en-US" w:eastAsia="el-GR"/>
              </w:rPr>
            </w:pPr>
          </w:p>
        </w:tc>
        <w:tc>
          <w:tcPr>
            <w:tcW w:w="1567" w:type="dxa"/>
            <w:tcBorders>
              <w:top w:val="single" w:sz="4" w:space="0" w:color="002677"/>
            </w:tcBorders>
            <w:shd w:val="clear" w:color="auto" w:fill="F0F3F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E2C61A" w14:textId="77777777" w:rsidR="000D600C" w:rsidRPr="00B57206" w:rsidRDefault="000D600C" w:rsidP="000D600C">
            <w:pPr>
              <w:jc w:val="center"/>
              <w:textAlignment w:val="bottom"/>
              <w:rPr>
                <w:rFonts w:eastAsia="Calibri" w:cstheme="minorHAnsi"/>
                <w:color w:val="002677"/>
                <w:kern w:val="24"/>
                <w:sz w:val="22"/>
                <w:szCs w:val="22"/>
                <w:lang w:val="en-US" w:eastAsia="el-GR"/>
              </w:rPr>
            </w:pPr>
          </w:p>
        </w:tc>
      </w:tr>
      <w:tr w:rsidR="00C93F9B" w:rsidRPr="00B57206" w14:paraId="1AAF66DD" w14:textId="77777777" w:rsidTr="00511CA9">
        <w:trPr>
          <w:trHeight w:val="230"/>
          <w:jc w:val="center"/>
        </w:trPr>
        <w:tc>
          <w:tcPr>
            <w:tcW w:w="7229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5780A11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Net cash </w:t>
            </w:r>
            <w:r>
              <w:rPr>
                <w:rFonts w:cstheme="minorHAnsi"/>
                <w:color w:val="002677"/>
                <w:sz w:val="22"/>
                <w:szCs w:val="22"/>
              </w:rPr>
              <w:t>in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>flows</w:t>
            </w:r>
            <w:r>
              <w:rPr>
                <w:rFonts w:cstheme="minorHAnsi"/>
                <w:color w:val="002677"/>
                <w:sz w:val="22"/>
                <w:szCs w:val="22"/>
              </w:rPr>
              <w:t>/(outflows)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from operating activities</w:t>
            </w:r>
          </w:p>
        </w:tc>
        <w:tc>
          <w:tcPr>
            <w:tcW w:w="1418" w:type="dxa"/>
            <w:vAlign w:val="bottom"/>
          </w:tcPr>
          <w:p w14:paraId="6926EEC3" w14:textId="08C11498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138,6</w:t>
            </w:r>
          </w:p>
        </w:tc>
        <w:tc>
          <w:tcPr>
            <w:tcW w:w="1567" w:type="dxa"/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A29EB6" w14:textId="11C5CCE0" w:rsidR="00C93F9B" w:rsidRPr="00B57206" w:rsidRDefault="00C93F9B" w:rsidP="00C93F9B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2605E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188,6</w:t>
            </w:r>
          </w:p>
        </w:tc>
      </w:tr>
      <w:tr w:rsidR="00C93F9B" w:rsidRPr="00B57206" w14:paraId="7AE91C95" w14:textId="77777777" w:rsidTr="00511CA9">
        <w:trPr>
          <w:trHeight w:val="235"/>
          <w:jc w:val="center"/>
        </w:trPr>
        <w:tc>
          <w:tcPr>
            <w:tcW w:w="7229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609EF58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Net cash </w:t>
            </w:r>
            <w:r>
              <w:rPr>
                <w:rFonts w:cstheme="minorHAnsi"/>
                <w:color w:val="002677"/>
                <w:sz w:val="22"/>
                <w:szCs w:val="22"/>
              </w:rPr>
              <w:t>in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>flows</w:t>
            </w:r>
            <w:r>
              <w:rPr>
                <w:rFonts w:cstheme="minorHAnsi"/>
                <w:color w:val="002677"/>
                <w:sz w:val="22"/>
                <w:szCs w:val="22"/>
              </w:rPr>
              <w:t>/(outflows)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from investing activities</w:t>
            </w:r>
          </w:p>
        </w:tc>
        <w:tc>
          <w:tcPr>
            <w:tcW w:w="1418" w:type="dxa"/>
            <w:vAlign w:val="bottom"/>
          </w:tcPr>
          <w:p w14:paraId="562FF29C" w14:textId="097057B3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(3,7)</w:t>
            </w:r>
          </w:p>
        </w:tc>
        <w:tc>
          <w:tcPr>
            <w:tcW w:w="1567" w:type="dxa"/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7B3D3E" w14:textId="170EB7B6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2605E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(47,8)</w:t>
            </w:r>
          </w:p>
        </w:tc>
      </w:tr>
      <w:tr w:rsidR="00C93F9B" w:rsidRPr="00B57206" w14:paraId="7C4F9F4B" w14:textId="77777777" w:rsidTr="00511CA9">
        <w:trPr>
          <w:trHeight w:val="229"/>
          <w:jc w:val="center"/>
        </w:trPr>
        <w:tc>
          <w:tcPr>
            <w:tcW w:w="7229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BFA6EA6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Net cash </w:t>
            </w:r>
            <w:r>
              <w:rPr>
                <w:rFonts w:cstheme="minorHAnsi"/>
                <w:color w:val="002677"/>
                <w:sz w:val="22"/>
                <w:szCs w:val="22"/>
              </w:rPr>
              <w:t>in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>flows</w:t>
            </w:r>
            <w:r>
              <w:rPr>
                <w:rFonts w:cstheme="minorHAnsi"/>
                <w:color w:val="002677"/>
                <w:sz w:val="22"/>
                <w:szCs w:val="22"/>
              </w:rPr>
              <w:t>/(outflows)</w:t>
            </w: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from financing activities</w:t>
            </w:r>
          </w:p>
        </w:tc>
        <w:tc>
          <w:tcPr>
            <w:tcW w:w="1418" w:type="dxa"/>
            <w:vAlign w:val="bottom"/>
          </w:tcPr>
          <w:p w14:paraId="3173AD26" w14:textId="6C91CB7C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(74,9)</w:t>
            </w:r>
          </w:p>
        </w:tc>
        <w:tc>
          <w:tcPr>
            <w:tcW w:w="1567" w:type="dxa"/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C65249" w14:textId="7BBFF019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2605E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(123,5)</w:t>
            </w:r>
          </w:p>
        </w:tc>
      </w:tr>
      <w:tr w:rsidR="00C93F9B" w:rsidRPr="00B57206" w14:paraId="433845AE" w14:textId="77777777" w:rsidTr="00511CA9">
        <w:trPr>
          <w:trHeight w:val="277"/>
          <w:jc w:val="center"/>
        </w:trPr>
        <w:tc>
          <w:tcPr>
            <w:tcW w:w="7229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59F0C37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Net (decrease)/ increase in cash and cash equivalents</w:t>
            </w:r>
          </w:p>
        </w:tc>
        <w:tc>
          <w:tcPr>
            <w:tcW w:w="1418" w:type="dxa"/>
            <w:vAlign w:val="bottom"/>
          </w:tcPr>
          <w:p w14:paraId="11A45926" w14:textId="58F7C606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59,9</w:t>
            </w:r>
          </w:p>
        </w:tc>
        <w:tc>
          <w:tcPr>
            <w:tcW w:w="1567" w:type="dxa"/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FCBF00" w14:textId="7C7859A6" w:rsidR="00C93F9B" w:rsidRPr="00B57206" w:rsidRDefault="00C93F9B" w:rsidP="00C93F9B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17,</w:t>
            </w:r>
            <w:r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2</w:t>
            </w:r>
          </w:p>
        </w:tc>
      </w:tr>
      <w:tr w:rsidR="00C93F9B" w:rsidRPr="00B57206" w14:paraId="5E3BC0C4" w14:textId="77777777" w:rsidTr="00511CA9">
        <w:trPr>
          <w:trHeight w:val="253"/>
          <w:jc w:val="center"/>
        </w:trPr>
        <w:tc>
          <w:tcPr>
            <w:tcW w:w="7229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0D60684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Cash at the beginning of the period</w:t>
            </w:r>
            <w:r w:rsidRPr="00B57206">
              <w:rPr>
                <w:rFonts w:cstheme="minorHAnsi"/>
                <w:color w:val="00267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vAlign w:val="bottom"/>
          </w:tcPr>
          <w:p w14:paraId="0DC4DBC9" w14:textId="0F6D0F66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527,9</w:t>
            </w:r>
          </w:p>
        </w:tc>
        <w:tc>
          <w:tcPr>
            <w:tcW w:w="1567" w:type="dxa"/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05BBA" w14:textId="6C50B29F" w:rsidR="00C93F9B" w:rsidRPr="00B57206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70</w:t>
            </w:r>
            <w:r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9</w:t>
            </w: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,3</w:t>
            </w:r>
          </w:p>
        </w:tc>
      </w:tr>
      <w:tr w:rsidR="00C93F9B" w:rsidRPr="00B57206" w14:paraId="124F5BC9" w14:textId="77777777" w:rsidTr="00511CA9">
        <w:trPr>
          <w:trHeight w:val="230"/>
          <w:jc w:val="center"/>
        </w:trPr>
        <w:tc>
          <w:tcPr>
            <w:tcW w:w="7229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55F0302" w14:textId="77777777" w:rsidR="00C93F9B" w:rsidRPr="00B57206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Foreign exchange difference impact in cash</w:t>
            </w:r>
            <w:r>
              <w:rPr>
                <w:rFonts w:cstheme="minorHAnsi"/>
                <w:color w:val="002677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2677"/>
            </w:tcBorders>
            <w:vAlign w:val="bottom"/>
          </w:tcPr>
          <w:p w14:paraId="19033B78" w14:textId="58434596" w:rsidR="00C93F9B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3,2</w:t>
            </w:r>
          </w:p>
        </w:tc>
        <w:tc>
          <w:tcPr>
            <w:tcW w:w="1567" w:type="dxa"/>
            <w:tcBorders>
              <w:bottom w:val="single" w:sz="4" w:space="0" w:color="002677"/>
            </w:tcBorders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0D38F8" w14:textId="2A429BDC" w:rsidR="00C93F9B" w:rsidRDefault="00C93F9B" w:rsidP="00C93F9B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3,2</w:t>
            </w:r>
          </w:p>
        </w:tc>
      </w:tr>
      <w:tr w:rsidR="00C93F9B" w:rsidRPr="00B57206" w14:paraId="5139D715" w14:textId="77777777" w:rsidTr="00511CA9">
        <w:trPr>
          <w:trHeight w:val="230"/>
          <w:jc w:val="center"/>
        </w:trPr>
        <w:tc>
          <w:tcPr>
            <w:tcW w:w="7229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980F1C2" w14:textId="2D3875EF" w:rsidR="00C93F9B" w:rsidRPr="00576330" w:rsidRDefault="00C93F9B" w:rsidP="00C93F9B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576330">
              <w:rPr>
                <w:rFonts w:cstheme="minorHAnsi"/>
                <w:color w:val="002677"/>
                <w:sz w:val="22"/>
                <w:szCs w:val="22"/>
              </w:rPr>
              <w:t>Cash and cash equivalents of asset held for sale</w:t>
            </w:r>
          </w:p>
        </w:tc>
        <w:tc>
          <w:tcPr>
            <w:tcW w:w="1418" w:type="dxa"/>
            <w:tcBorders>
              <w:bottom w:val="single" w:sz="4" w:space="0" w:color="002677"/>
            </w:tcBorders>
            <w:vAlign w:val="bottom"/>
          </w:tcPr>
          <w:p w14:paraId="32C75ABF" w14:textId="43C41639" w:rsidR="00C93F9B" w:rsidRPr="00AA18BD" w:rsidRDefault="00C93F9B" w:rsidP="00C93F9B">
            <w:pPr>
              <w:jc w:val="center"/>
              <w:rPr>
                <w:rFonts w:eastAsia="Times New Roman" w:cstheme="minorHAnsi"/>
                <w:color w:val="FF0000"/>
                <w:sz w:val="22"/>
                <w:szCs w:val="22"/>
                <w:lang w:eastAsia="el-GR"/>
              </w:rPr>
            </w:pPr>
            <w:r>
              <w:rPr>
                <w:rFonts w:eastAsia="Times New Roman" w:cstheme="minorHAnsi"/>
                <w:color w:val="002677"/>
                <w:sz w:val="22"/>
                <w:szCs w:val="22"/>
                <w:lang w:val="en-US" w:eastAsia="el-GR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002677"/>
            </w:tcBorders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F11EDD" w14:textId="03A752E1" w:rsidR="00C93F9B" w:rsidRPr="00AA18BD" w:rsidRDefault="00C93F9B" w:rsidP="00C93F9B">
            <w:pPr>
              <w:jc w:val="center"/>
              <w:rPr>
                <w:rFonts w:eastAsia="Times New Roman" w:cstheme="minorHAnsi"/>
                <w:color w:val="FF0000"/>
                <w:sz w:val="22"/>
                <w:szCs w:val="22"/>
                <w:lang w:eastAsia="el-GR"/>
              </w:rPr>
            </w:pPr>
            <w:r w:rsidRPr="00F05A0B">
              <w:rPr>
                <w:rFonts w:eastAsia="Calibri" w:cstheme="minorHAnsi"/>
                <w:color w:val="213368"/>
                <w:kern w:val="24"/>
                <w:sz w:val="22"/>
                <w:szCs w:val="22"/>
                <w:lang w:val="el-GR" w:eastAsia="el-GR"/>
              </w:rPr>
              <w:t>-0,8</w:t>
            </w:r>
          </w:p>
        </w:tc>
      </w:tr>
      <w:tr w:rsidR="00C93F9B" w:rsidRPr="00B57206" w14:paraId="1DE27224" w14:textId="77777777" w:rsidTr="00511CA9">
        <w:trPr>
          <w:trHeight w:val="224"/>
          <w:jc w:val="center"/>
        </w:trPr>
        <w:tc>
          <w:tcPr>
            <w:tcW w:w="7229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32FD0F74" w14:textId="77777777" w:rsidR="00C93F9B" w:rsidRPr="00576330" w:rsidRDefault="00C93F9B" w:rsidP="00C93F9B">
            <w:pPr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576330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Cash at the end of the period</w:t>
            </w:r>
            <w:r w:rsidRPr="00576330">
              <w:rPr>
                <w:rFonts w:cstheme="minorHAnsi"/>
                <w:b/>
                <w:bCs/>
                <w:color w:val="00267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002677"/>
              <w:bottom w:val="single" w:sz="4" w:space="0" w:color="002677"/>
            </w:tcBorders>
            <w:vAlign w:val="center"/>
          </w:tcPr>
          <w:p w14:paraId="3146B247" w14:textId="70C92727" w:rsidR="00C93F9B" w:rsidRPr="00576330" w:rsidRDefault="00C93F9B" w:rsidP="00C93F9B">
            <w:pPr>
              <w:jc w:val="center"/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BA34C9">
              <w:rPr>
                <w:rFonts w:eastAsia="Calibri" w:cstheme="minorHAnsi"/>
                <w:b/>
                <w:bCs/>
                <w:color w:val="002677"/>
                <w:kern w:val="24"/>
                <w:sz w:val="22"/>
                <w:szCs w:val="22"/>
                <w:lang w:val="el-GR" w:eastAsia="el-GR"/>
              </w:rPr>
              <w:t>591,1</w:t>
            </w:r>
          </w:p>
        </w:tc>
        <w:tc>
          <w:tcPr>
            <w:tcW w:w="1567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EFF2F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321F2B" w14:textId="63E6BA77" w:rsidR="00C93F9B" w:rsidRPr="00B57206" w:rsidRDefault="00C93F9B" w:rsidP="00C93F9B">
            <w:pPr>
              <w:jc w:val="center"/>
              <w:rPr>
                <w:rFonts w:eastAsia="Times New Roman" w:cstheme="minorHAnsi"/>
                <w:b/>
                <w:bCs/>
                <w:color w:val="002677"/>
                <w:sz w:val="22"/>
                <w:szCs w:val="22"/>
                <w:lang w:eastAsia="el-GR"/>
              </w:rPr>
            </w:pPr>
            <w:r w:rsidRPr="002605EB">
              <w:rPr>
                <w:rFonts w:eastAsia="Calibri" w:cstheme="minorHAnsi"/>
                <w:b/>
                <w:bCs/>
                <w:color w:val="002677"/>
                <w:kern w:val="24"/>
                <w:sz w:val="22"/>
                <w:szCs w:val="22"/>
                <w:lang w:val="el-GR" w:eastAsia="el-GR"/>
              </w:rPr>
              <w:t>72</w:t>
            </w:r>
            <w:r>
              <w:rPr>
                <w:rFonts w:eastAsia="Calibri" w:cstheme="minorHAnsi"/>
                <w:b/>
                <w:bCs/>
                <w:color w:val="002677"/>
                <w:kern w:val="24"/>
                <w:sz w:val="22"/>
                <w:szCs w:val="22"/>
                <w:lang w:val="el-GR" w:eastAsia="el-GR"/>
              </w:rPr>
              <w:t>8</w:t>
            </w:r>
            <w:r w:rsidRPr="002605EB">
              <w:rPr>
                <w:rFonts w:eastAsia="Calibri" w:cstheme="minorHAnsi"/>
                <w:b/>
                <w:bCs/>
                <w:color w:val="002677"/>
                <w:kern w:val="24"/>
                <w:sz w:val="22"/>
                <w:szCs w:val="22"/>
                <w:lang w:val="el-GR" w:eastAsia="el-GR"/>
              </w:rPr>
              <w:t>,9</w:t>
            </w:r>
          </w:p>
        </w:tc>
      </w:tr>
    </w:tbl>
    <w:p w14:paraId="1341876E" w14:textId="77777777" w:rsidR="000D600C" w:rsidRPr="00B57206" w:rsidRDefault="000D600C" w:rsidP="000D600C">
      <w:pPr>
        <w:jc w:val="both"/>
        <w:rPr>
          <w:rFonts w:cstheme="minorHAnsi"/>
          <w:color w:val="002677"/>
          <w:sz w:val="22"/>
          <w:szCs w:val="22"/>
        </w:rPr>
      </w:pPr>
    </w:p>
    <w:p w14:paraId="53F5393D" w14:textId="77777777" w:rsidR="000D600C" w:rsidRPr="00040362" w:rsidRDefault="000D600C" w:rsidP="000D600C">
      <w:pPr>
        <w:jc w:val="both"/>
        <w:rPr>
          <w:rFonts w:cstheme="minorHAnsi"/>
          <w:color w:val="002677"/>
          <w:sz w:val="18"/>
          <w:szCs w:val="18"/>
        </w:rPr>
      </w:pPr>
      <w:r w:rsidRPr="00040362">
        <w:rPr>
          <w:rFonts w:cstheme="minorHAnsi"/>
          <w:color w:val="002677"/>
          <w:sz w:val="18"/>
          <w:szCs w:val="18"/>
        </w:rPr>
        <w:t>Notes:</w:t>
      </w:r>
    </w:p>
    <w:p w14:paraId="01A1AE6F" w14:textId="77777777" w:rsidR="000D600C" w:rsidRPr="00040362" w:rsidRDefault="000D600C" w:rsidP="000D600C">
      <w:pPr>
        <w:jc w:val="both"/>
        <w:rPr>
          <w:rFonts w:cstheme="minorHAnsi"/>
          <w:color w:val="002677"/>
          <w:sz w:val="18"/>
          <w:szCs w:val="18"/>
        </w:rPr>
      </w:pPr>
      <w:r w:rsidRPr="00040362">
        <w:rPr>
          <w:rFonts w:cstheme="minorHAnsi"/>
          <w:color w:val="002677"/>
          <w:sz w:val="18"/>
          <w:szCs w:val="18"/>
          <w:vertAlign w:val="superscript"/>
        </w:rPr>
        <w:t>1</w:t>
      </w:r>
      <w:r w:rsidRPr="00040362">
        <w:rPr>
          <w:rFonts w:cstheme="minorHAnsi"/>
          <w:color w:val="002677"/>
          <w:sz w:val="18"/>
          <w:szCs w:val="18"/>
        </w:rPr>
        <w:t xml:space="preserve"> Includes restricted cash and Financial Assets Available for Sale.</w:t>
      </w:r>
    </w:p>
    <w:p w14:paraId="32AD8090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529DC8B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71FEA9BB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51C25C60" w14:textId="77777777" w:rsidR="000D600C" w:rsidRDefault="000D600C" w:rsidP="000D600C">
      <w:pPr>
        <w:spacing w:after="120"/>
        <w:jc w:val="both"/>
        <w:rPr>
          <w:rFonts w:cstheme="minorHAnsi"/>
          <w:b/>
          <w:bCs/>
          <w:color w:val="243587"/>
          <w:sz w:val="22"/>
          <w:szCs w:val="22"/>
        </w:rPr>
      </w:pPr>
    </w:p>
    <w:p w14:paraId="4AD9B56D" w14:textId="77777777" w:rsidR="000D600C" w:rsidRPr="00B57206" w:rsidRDefault="000D600C" w:rsidP="000D600C">
      <w:pPr>
        <w:spacing w:after="120"/>
        <w:jc w:val="both"/>
        <w:rPr>
          <w:rFonts w:cstheme="minorHAnsi"/>
          <w:b/>
          <w:bCs/>
          <w:color w:val="002677"/>
          <w:sz w:val="22"/>
          <w:szCs w:val="22"/>
        </w:rPr>
      </w:pPr>
      <w:r w:rsidRPr="00B57206">
        <w:rPr>
          <w:rFonts w:cstheme="minorHAnsi"/>
          <w:b/>
          <w:bCs/>
          <w:color w:val="002677"/>
          <w:sz w:val="22"/>
          <w:szCs w:val="22"/>
        </w:rPr>
        <w:t>Group operating figures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276"/>
      </w:tblGrid>
      <w:tr w:rsidR="008F7BCD" w:rsidRPr="00B57206" w14:paraId="7ED23A92" w14:textId="77777777" w:rsidTr="008F7BCD">
        <w:trPr>
          <w:trHeight w:val="353"/>
        </w:trPr>
        <w:tc>
          <w:tcPr>
            <w:tcW w:w="5387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638D3BA" w14:textId="77777777" w:rsidR="008F7BCD" w:rsidRPr="00B57206" w:rsidRDefault="008F7BCD" w:rsidP="008F7BCD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  <w:lang w:val="en-US" w:eastAsia="el-GR"/>
              </w:rPr>
            </w:pPr>
            <w:bookmarkStart w:id="2" w:name="_Hlk129612799"/>
          </w:p>
        </w:tc>
        <w:tc>
          <w:tcPr>
            <w:tcW w:w="1701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4F290D72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18D94146" w14:textId="74F5BEE1" w:rsidR="008F7BCD" w:rsidRPr="00B57206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6C7D8FE3" w14:textId="77777777" w:rsidR="008F7BCD" w:rsidRDefault="008F7BCD" w:rsidP="008F7BCD">
            <w:pPr>
              <w:jc w:val="center"/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 xml:space="preserve">First Quarter </w:t>
            </w:r>
          </w:p>
          <w:p w14:paraId="4D918952" w14:textId="2805EA1B" w:rsidR="008F7BCD" w:rsidRPr="00B57206" w:rsidRDefault="008F7BCD" w:rsidP="008F7BCD">
            <w:pPr>
              <w:jc w:val="center"/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2677"/>
              <w:bottom w:val="single" w:sz="4" w:space="0" w:color="002677"/>
            </w:tcBorders>
            <w:shd w:val="clear" w:color="auto" w:fill="002677"/>
            <w:vAlign w:val="center"/>
          </w:tcPr>
          <w:p w14:paraId="634DDE36" w14:textId="522F22AB" w:rsidR="008F7BCD" w:rsidRPr="00B57206" w:rsidRDefault="008F7BCD" w:rsidP="008F7BCD">
            <w:pPr>
              <w:jc w:val="center"/>
              <w:rPr>
                <w:rFonts w:cstheme="minorHAnsi"/>
                <w:b/>
                <w:bCs/>
                <w:color w:val="FFFFFF" w:themeColor="background1"/>
                <w:kern w:val="24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</w:rPr>
              <w:t>%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l-GR"/>
              </w:rPr>
              <w:t xml:space="preserve"> </w:t>
            </w:r>
            <w:r w:rsidRPr="00B57206">
              <w:rPr>
                <w:rFonts w:cstheme="minorHAnsi"/>
                <w:color w:val="FFFFFF" w:themeColor="background1"/>
                <w:kern w:val="24"/>
                <w:sz w:val="22"/>
                <w:szCs w:val="22"/>
                <w:lang w:val="en-US"/>
              </w:rPr>
              <w:t>change</w:t>
            </w:r>
          </w:p>
        </w:tc>
      </w:tr>
      <w:tr w:rsidR="008F7BCD" w:rsidRPr="00B57206" w14:paraId="67A90D07" w14:textId="77777777" w:rsidTr="008F7BCD">
        <w:trPr>
          <w:trHeight w:val="27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21DED2C" w14:textId="77777777" w:rsidR="008F7BCD" w:rsidRPr="00B57206" w:rsidRDefault="008F7BCD" w:rsidP="000D600C">
            <w:pPr>
              <w:rPr>
                <w:rFonts w:cstheme="minorHAnsi"/>
                <w:b/>
                <w:bCs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Capacity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center"/>
          </w:tcPr>
          <w:p w14:paraId="31208DD2" w14:textId="77777777" w:rsidR="008F7BCD" w:rsidRPr="00B57206" w:rsidRDefault="008F7BCD" w:rsidP="000D600C">
            <w:pPr>
              <w:jc w:val="center"/>
              <w:textAlignment w:val="bottom"/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center"/>
          </w:tcPr>
          <w:p w14:paraId="48ED8D27" w14:textId="77777777" w:rsidR="008F7BCD" w:rsidRPr="00B57206" w:rsidRDefault="008F7BCD" w:rsidP="000D600C">
            <w:pPr>
              <w:jc w:val="center"/>
              <w:textAlignment w:val="bottom"/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2677"/>
            </w:tcBorders>
            <w:vAlign w:val="center"/>
          </w:tcPr>
          <w:p w14:paraId="5C4CDF2B" w14:textId="77777777" w:rsidR="008F7BCD" w:rsidRPr="00B57206" w:rsidRDefault="008F7BCD" w:rsidP="000D600C">
            <w:pPr>
              <w:jc w:val="center"/>
              <w:textAlignment w:val="bottom"/>
              <w:rPr>
                <w:rFonts w:eastAsia="Times New Roman" w:cstheme="minorHAnsi"/>
                <w:color w:val="002677"/>
                <w:sz w:val="22"/>
                <w:szCs w:val="22"/>
                <w:lang w:val="el-GR" w:eastAsia="el-GR"/>
              </w:rPr>
            </w:pPr>
          </w:p>
        </w:tc>
      </w:tr>
      <w:tr w:rsidR="00E353E6" w:rsidRPr="00B57206" w14:paraId="3E41C49B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B65B2B6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ASKs (in millions) </w:t>
            </w:r>
          </w:p>
        </w:tc>
        <w:tc>
          <w:tcPr>
            <w:tcW w:w="1701" w:type="dxa"/>
            <w:vAlign w:val="center"/>
          </w:tcPr>
          <w:p w14:paraId="6785E2E8" w14:textId="65B2F9C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3.340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165EC29D" w14:textId="0E448BC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3.751</w:t>
            </w:r>
          </w:p>
        </w:tc>
        <w:tc>
          <w:tcPr>
            <w:tcW w:w="1276" w:type="dxa"/>
            <w:vAlign w:val="center"/>
          </w:tcPr>
          <w:p w14:paraId="4C5CBCD4" w14:textId="2D2677AE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12%</w:t>
            </w:r>
          </w:p>
        </w:tc>
      </w:tr>
      <w:tr w:rsidR="00E353E6" w:rsidRPr="00B57206" w14:paraId="052CB479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C2048E5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Total available seats (‘000)</w:t>
            </w:r>
          </w:p>
        </w:tc>
        <w:tc>
          <w:tcPr>
            <w:tcW w:w="1701" w:type="dxa"/>
            <w:vAlign w:val="center"/>
          </w:tcPr>
          <w:p w14:paraId="7D996A2E" w14:textId="5FBA600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3.236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018B639F" w14:textId="05D18D0A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3.549</w:t>
            </w:r>
          </w:p>
        </w:tc>
        <w:tc>
          <w:tcPr>
            <w:tcW w:w="1276" w:type="dxa"/>
            <w:vAlign w:val="center"/>
          </w:tcPr>
          <w:p w14:paraId="5B797672" w14:textId="020ADB4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10%</w:t>
            </w:r>
          </w:p>
        </w:tc>
      </w:tr>
      <w:tr w:rsidR="00E353E6" w:rsidRPr="00B57206" w14:paraId="3B4542AB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F14401B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Total Block Hours </w:t>
            </w:r>
          </w:p>
        </w:tc>
        <w:tc>
          <w:tcPr>
            <w:tcW w:w="1701" w:type="dxa"/>
            <w:vAlign w:val="center"/>
          </w:tcPr>
          <w:p w14:paraId="66EBFD7C" w14:textId="5A12CD2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33.782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0668684D" w14:textId="53DE8AEE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38.306</w:t>
            </w:r>
          </w:p>
        </w:tc>
        <w:tc>
          <w:tcPr>
            <w:tcW w:w="1276" w:type="dxa"/>
            <w:vAlign w:val="center"/>
          </w:tcPr>
          <w:p w14:paraId="6E75F4D0" w14:textId="4976FA7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13%</w:t>
            </w:r>
          </w:p>
        </w:tc>
      </w:tr>
      <w:tr w:rsidR="00E353E6" w:rsidRPr="00B57206" w14:paraId="4C844F56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B1B6F3D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Total Sectors Flown </w:t>
            </w:r>
          </w:p>
        </w:tc>
        <w:tc>
          <w:tcPr>
            <w:tcW w:w="1701" w:type="dxa"/>
            <w:vAlign w:val="center"/>
          </w:tcPr>
          <w:p w14:paraId="16875E30" w14:textId="0266E8C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20.445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623527FC" w14:textId="12B83C3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22.675</w:t>
            </w:r>
          </w:p>
        </w:tc>
        <w:tc>
          <w:tcPr>
            <w:tcW w:w="1276" w:type="dxa"/>
            <w:vAlign w:val="center"/>
          </w:tcPr>
          <w:p w14:paraId="2C4BD281" w14:textId="72B8DD6B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11%</w:t>
            </w:r>
          </w:p>
        </w:tc>
      </w:tr>
      <w:tr w:rsidR="00E353E6" w:rsidRPr="00B57206" w14:paraId="1B8EA045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AE4752E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Average capacity per flight </w:t>
            </w:r>
          </w:p>
        </w:tc>
        <w:tc>
          <w:tcPr>
            <w:tcW w:w="1701" w:type="dxa"/>
            <w:vAlign w:val="center"/>
          </w:tcPr>
          <w:p w14:paraId="79701E81" w14:textId="34631EA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158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5D4F2EED" w14:textId="73EE622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157</w:t>
            </w:r>
          </w:p>
        </w:tc>
        <w:tc>
          <w:tcPr>
            <w:tcW w:w="1276" w:type="dxa"/>
            <w:vAlign w:val="center"/>
          </w:tcPr>
          <w:p w14:paraId="41C821E0" w14:textId="46EE7389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-1%</w:t>
            </w:r>
          </w:p>
        </w:tc>
      </w:tr>
      <w:tr w:rsidR="00E353E6" w:rsidRPr="00B57206" w14:paraId="273FA73D" w14:textId="77777777" w:rsidTr="00511CA9">
        <w:trPr>
          <w:trHeight w:val="27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9A746CB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Average sector length (km)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center"/>
          </w:tcPr>
          <w:p w14:paraId="3153AE6B" w14:textId="75CC433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891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center"/>
          </w:tcPr>
          <w:p w14:paraId="7256FC16" w14:textId="3CF6FAF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920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center"/>
          </w:tcPr>
          <w:p w14:paraId="0E11C132" w14:textId="7C33E5A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3%</w:t>
            </w:r>
          </w:p>
        </w:tc>
      </w:tr>
      <w:tr w:rsidR="00E353E6" w:rsidRPr="00B57206" w14:paraId="705DECDC" w14:textId="77777777" w:rsidTr="00511CA9">
        <w:trPr>
          <w:trHeight w:val="27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FFF9704" w14:textId="77777777" w:rsidR="00E353E6" w:rsidRPr="00B57206" w:rsidRDefault="00E353E6" w:rsidP="00E353E6">
            <w:pPr>
              <w:rPr>
                <w:rFonts w:cstheme="minorHAnsi"/>
                <w:b/>
                <w:bCs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Passengers (</w:t>
            </w: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  <w:lang w:val="el-GR"/>
              </w:rPr>
              <w:t>΄</w:t>
            </w:r>
            <w:r w:rsidRPr="00B57206">
              <w:rPr>
                <w:rFonts w:cstheme="minorHAnsi"/>
                <w:b/>
                <w:bCs/>
                <w:color w:val="002677"/>
                <w:sz w:val="22"/>
                <w:szCs w:val="22"/>
              </w:rPr>
              <w:t>000)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center"/>
          </w:tcPr>
          <w:p w14:paraId="1B5155B6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center"/>
          </w:tcPr>
          <w:p w14:paraId="1A51F81E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2677"/>
            </w:tcBorders>
            <w:vAlign w:val="center"/>
          </w:tcPr>
          <w:p w14:paraId="55A857EF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</w:tr>
      <w:tr w:rsidR="00E353E6" w:rsidRPr="00B57206" w14:paraId="1A420BC8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E549DF2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By type of service:</w:t>
            </w:r>
          </w:p>
        </w:tc>
        <w:tc>
          <w:tcPr>
            <w:tcW w:w="1701" w:type="dxa"/>
            <w:vAlign w:val="center"/>
          </w:tcPr>
          <w:p w14:paraId="6F3C27A6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FF2F9"/>
            <w:vAlign w:val="center"/>
          </w:tcPr>
          <w:p w14:paraId="71CA0A3B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F76E3F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</w:tr>
      <w:tr w:rsidR="00E353E6" w:rsidRPr="00B57206" w14:paraId="3E8DD1D1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72CAB2B2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Schedule passengers</w:t>
            </w:r>
          </w:p>
        </w:tc>
        <w:tc>
          <w:tcPr>
            <w:tcW w:w="1701" w:type="dxa"/>
            <w:vAlign w:val="center"/>
          </w:tcPr>
          <w:p w14:paraId="65365BF6" w14:textId="6EC08F7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2.565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7172CB99" w14:textId="2BBCA1E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2.832</w:t>
            </w:r>
          </w:p>
        </w:tc>
        <w:tc>
          <w:tcPr>
            <w:tcW w:w="1276" w:type="dxa"/>
            <w:vAlign w:val="center"/>
          </w:tcPr>
          <w:p w14:paraId="5BF9A79D" w14:textId="3073BBA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10%</w:t>
            </w:r>
          </w:p>
        </w:tc>
      </w:tr>
      <w:tr w:rsidR="00E353E6" w:rsidRPr="00B57206" w14:paraId="7D2BAB53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1B70D39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Charter passengers</w:t>
            </w:r>
          </w:p>
        </w:tc>
        <w:tc>
          <w:tcPr>
            <w:tcW w:w="1701" w:type="dxa"/>
            <w:vAlign w:val="center"/>
          </w:tcPr>
          <w:p w14:paraId="46833CCB" w14:textId="189979B2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33BFFF9A" w14:textId="357DE2DF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1276" w:type="dxa"/>
            <w:vAlign w:val="center"/>
          </w:tcPr>
          <w:p w14:paraId="67BD9833" w14:textId="681213D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50%</w:t>
            </w:r>
          </w:p>
        </w:tc>
      </w:tr>
      <w:tr w:rsidR="00E353E6" w:rsidRPr="00B57206" w14:paraId="6B5E09F0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F587AFA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By network:</w:t>
            </w:r>
          </w:p>
        </w:tc>
        <w:tc>
          <w:tcPr>
            <w:tcW w:w="1701" w:type="dxa"/>
            <w:vAlign w:val="center"/>
          </w:tcPr>
          <w:p w14:paraId="50728AFB" w14:textId="77777777" w:rsidR="00E353E6" w:rsidRPr="00B57206" w:rsidRDefault="00E353E6" w:rsidP="00E353E6">
            <w:pPr>
              <w:jc w:val="center"/>
              <w:rPr>
                <w:rFonts w:eastAsia="Times New Roman" w:cstheme="minorHAnsi"/>
                <w:color w:val="002677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shd w:val="clear" w:color="auto" w:fill="EFF2F9"/>
            <w:vAlign w:val="center"/>
          </w:tcPr>
          <w:p w14:paraId="554AA7EF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19531E" w14:textId="7777777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</w:p>
        </w:tc>
      </w:tr>
      <w:tr w:rsidR="00E353E6" w:rsidRPr="00B57206" w14:paraId="71E88A87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1B03892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Domestic</w:t>
            </w:r>
          </w:p>
        </w:tc>
        <w:tc>
          <w:tcPr>
            <w:tcW w:w="1701" w:type="dxa"/>
            <w:vAlign w:val="center"/>
          </w:tcPr>
          <w:p w14:paraId="30770099" w14:textId="0BD4BD62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1.028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605EB2F7" w14:textId="612F2DF8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1.142</w:t>
            </w:r>
          </w:p>
        </w:tc>
        <w:tc>
          <w:tcPr>
            <w:tcW w:w="1276" w:type="dxa"/>
            <w:vAlign w:val="center"/>
          </w:tcPr>
          <w:p w14:paraId="2C048F37" w14:textId="22F6561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11%</w:t>
            </w:r>
          </w:p>
        </w:tc>
      </w:tr>
      <w:tr w:rsidR="00E353E6" w:rsidRPr="00B57206" w14:paraId="4DDDE442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011757A1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  International</w:t>
            </w:r>
          </w:p>
        </w:tc>
        <w:tc>
          <w:tcPr>
            <w:tcW w:w="1701" w:type="dxa"/>
            <w:vAlign w:val="center"/>
          </w:tcPr>
          <w:p w14:paraId="77897541" w14:textId="73CE5CAC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1.553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6F64408A" w14:textId="2254758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1.714</w:t>
            </w:r>
          </w:p>
        </w:tc>
        <w:tc>
          <w:tcPr>
            <w:tcW w:w="1276" w:type="dxa"/>
            <w:vAlign w:val="center"/>
          </w:tcPr>
          <w:p w14:paraId="740CD229" w14:textId="195D7A6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10%</w:t>
            </w:r>
          </w:p>
        </w:tc>
      </w:tr>
      <w:tr w:rsidR="00E353E6" w:rsidRPr="00B57206" w14:paraId="74C8EF7A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48AA55F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Total number of passengers</w:t>
            </w:r>
          </w:p>
        </w:tc>
        <w:tc>
          <w:tcPr>
            <w:tcW w:w="1701" w:type="dxa"/>
            <w:vAlign w:val="center"/>
          </w:tcPr>
          <w:p w14:paraId="65F70ED7" w14:textId="726EB405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2.581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52014C6F" w14:textId="58AC4D87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2.856</w:t>
            </w:r>
          </w:p>
        </w:tc>
        <w:tc>
          <w:tcPr>
            <w:tcW w:w="1276" w:type="dxa"/>
            <w:vAlign w:val="center"/>
          </w:tcPr>
          <w:p w14:paraId="16DE219B" w14:textId="25BF8F1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11%</w:t>
            </w:r>
          </w:p>
        </w:tc>
      </w:tr>
      <w:tr w:rsidR="00E353E6" w:rsidRPr="00B57206" w14:paraId="0200A29A" w14:textId="77777777" w:rsidTr="00511CA9">
        <w:trPr>
          <w:trHeight w:val="27"/>
        </w:trPr>
        <w:tc>
          <w:tcPr>
            <w:tcW w:w="5387" w:type="dxa"/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5B981A19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 xml:space="preserve">RPKs (in millions) </w:t>
            </w:r>
          </w:p>
        </w:tc>
        <w:tc>
          <w:tcPr>
            <w:tcW w:w="1701" w:type="dxa"/>
            <w:vAlign w:val="center"/>
          </w:tcPr>
          <w:p w14:paraId="752E17CE" w14:textId="3A73B71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2.715</w:t>
            </w:r>
          </w:p>
        </w:tc>
        <w:tc>
          <w:tcPr>
            <w:tcW w:w="1701" w:type="dxa"/>
            <w:shd w:val="clear" w:color="auto" w:fill="EFF2F9"/>
            <w:vAlign w:val="center"/>
          </w:tcPr>
          <w:p w14:paraId="04543B2B" w14:textId="26BEF8D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3.056</w:t>
            </w:r>
          </w:p>
        </w:tc>
        <w:tc>
          <w:tcPr>
            <w:tcW w:w="1276" w:type="dxa"/>
            <w:vAlign w:val="center"/>
          </w:tcPr>
          <w:p w14:paraId="2E6E8184" w14:textId="786CF5B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13%</w:t>
            </w:r>
          </w:p>
        </w:tc>
      </w:tr>
      <w:tr w:rsidR="00E353E6" w:rsidRPr="00B57206" w14:paraId="502C44C5" w14:textId="77777777" w:rsidTr="00511CA9">
        <w:trPr>
          <w:trHeight w:val="27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6D6A9B59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l-GR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Average passengers per flight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center"/>
          </w:tcPr>
          <w:p w14:paraId="2DD6A863" w14:textId="399228E2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126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center"/>
          </w:tcPr>
          <w:p w14:paraId="1F069C88" w14:textId="5C917E40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126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center"/>
          </w:tcPr>
          <w:p w14:paraId="5BAFDA95" w14:textId="611FA073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0%</w:t>
            </w:r>
          </w:p>
        </w:tc>
      </w:tr>
      <w:tr w:rsidR="00E353E6" w:rsidRPr="00B57206" w14:paraId="04537AAE" w14:textId="77777777" w:rsidTr="00511CA9">
        <w:trPr>
          <w:trHeight w:val="27"/>
        </w:trPr>
        <w:tc>
          <w:tcPr>
            <w:tcW w:w="5387" w:type="dxa"/>
            <w:tcBorders>
              <w:top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4D57234A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  <w:lang w:val="en-US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Load factor- Scheduled Services (Pax/AVS)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vAlign w:val="center"/>
          </w:tcPr>
          <w:p w14:paraId="22F1B30A" w14:textId="681ED4D1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80,0%</w:t>
            </w:r>
          </w:p>
        </w:tc>
        <w:tc>
          <w:tcPr>
            <w:tcW w:w="1701" w:type="dxa"/>
            <w:tcBorders>
              <w:top w:val="single" w:sz="4" w:space="0" w:color="002677"/>
            </w:tcBorders>
            <w:shd w:val="clear" w:color="auto" w:fill="EFF2F9"/>
            <w:vAlign w:val="center"/>
          </w:tcPr>
          <w:p w14:paraId="2D6E425A" w14:textId="3B01F95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80,6%</w:t>
            </w:r>
          </w:p>
        </w:tc>
        <w:tc>
          <w:tcPr>
            <w:tcW w:w="1276" w:type="dxa"/>
            <w:tcBorders>
              <w:top w:val="single" w:sz="4" w:space="0" w:color="002677"/>
            </w:tcBorders>
            <w:vAlign w:val="center"/>
          </w:tcPr>
          <w:p w14:paraId="79F4479D" w14:textId="48517424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0,6pp</w:t>
            </w:r>
          </w:p>
        </w:tc>
      </w:tr>
      <w:tr w:rsidR="00E353E6" w:rsidRPr="00B57206" w14:paraId="4B9A85B0" w14:textId="77777777" w:rsidTr="00511CA9">
        <w:trPr>
          <w:trHeight w:val="27"/>
        </w:trPr>
        <w:tc>
          <w:tcPr>
            <w:tcW w:w="5387" w:type="dxa"/>
            <w:tcBorders>
              <w:bottom w:val="single" w:sz="4" w:space="0" w:color="002677"/>
            </w:tcBorders>
            <w:shd w:val="clear" w:color="auto" w:fill="auto"/>
            <w:tcMar>
              <w:top w:w="13" w:type="dxa"/>
              <w:left w:w="97" w:type="dxa"/>
              <w:bottom w:w="0" w:type="dxa"/>
              <w:right w:w="97" w:type="dxa"/>
            </w:tcMar>
            <w:vAlign w:val="center"/>
          </w:tcPr>
          <w:p w14:paraId="119615EB" w14:textId="77777777" w:rsidR="00E353E6" w:rsidRPr="00B57206" w:rsidRDefault="00E353E6" w:rsidP="00E353E6">
            <w:pPr>
              <w:rPr>
                <w:rFonts w:cstheme="minorHAnsi"/>
                <w:color w:val="002677"/>
                <w:sz w:val="22"/>
                <w:szCs w:val="22"/>
              </w:rPr>
            </w:pPr>
            <w:r w:rsidRPr="00B57206">
              <w:rPr>
                <w:rFonts w:cstheme="minorHAnsi"/>
                <w:color w:val="002677"/>
                <w:sz w:val="22"/>
                <w:szCs w:val="22"/>
              </w:rPr>
              <w:t>Load factor- Scheduled Services (RPK/ASK)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vAlign w:val="center"/>
          </w:tcPr>
          <w:p w14:paraId="45D38E65" w14:textId="1DBC161D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81,6%</w:t>
            </w:r>
          </w:p>
        </w:tc>
        <w:tc>
          <w:tcPr>
            <w:tcW w:w="1701" w:type="dxa"/>
            <w:tcBorders>
              <w:bottom w:val="single" w:sz="4" w:space="0" w:color="002677"/>
            </w:tcBorders>
            <w:shd w:val="clear" w:color="auto" w:fill="EFF2F9"/>
            <w:vAlign w:val="center"/>
          </w:tcPr>
          <w:p w14:paraId="600A911B" w14:textId="1861D636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81,7%</w:t>
            </w:r>
          </w:p>
        </w:tc>
        <w:tc>
          <w:tcPr>
            <w:tcW w:w="1276" w:type="dxa"/>
            <w:tcBorders>
              <w:bottom w:val="single" w:sz="4" w:space="0" w:color="002677"/>
            </w:tcBorders>
            <w:vAlign w:val="center"/>
          </w:tcPr>
          <w:p w14:paraId="106D9F8A" w14:textId="12EDDF9E" w:rsidR="00E353E6" w:rsidRPr="00B57206" w:rsidRDefault="00E353E6" w:rsidP="00E353E6">
            <w:pPr>
              <w:jc w:val="center"/>
              <w:rPr>
                <w:rFonts w:cstheme="minorHAnsi"/>
                <w:color w:val="002677"/>
                <w:sz w:val="22"/>
                <w:szCs w:val="22"/>
              </w:rPr>
            </w:pPr>
            <w:r w:rsidRPr="00463467">
              <w:rPr>
                <w:rFonts w:ascii="Calibri" w:eastAsia="Times New Roman" w:hAnsi="Calibri" w:cs="Calibri"/>
                <w:color w:val="243587"/>
                <w:sz w:val="22"/>
                <w:szCs w:val="22"/>
                <w:lang w:eastAsia="el-GR"/>
              </w:rPr>
              <w:t>0,1pp</w:t>
            </w:r>
          </w:p>
        </w:tc>
      </w:tr>
      <w:bookmarkEnd w:id="2"/>
    </w:tbl>
    <w:p w14:paraId="02079499" w14:textId="77777777" w:rsidR="000D600C" w:rsidRPr="00B57206" w:rsidRDefault="000D600C" w:rsidP="000D600C">
      <w:pPr>
        <w:spacing w:after="240" w:line="276" w:lineRule="auto"/>
        <w:ind w:right="2268"/>
        <w:jc w:val="both"/>
        <w:rPr>
          <w:rFonts w:cstheme="minorHAnsi"/>
          <w:color w:val="002677"/>
          <w:sz w:val="22"/>
          <w:szCs w:val="22"/>
          <w:lang w:val="en-US"/>
        </w:rPr>
      </w:pPr>
    </w:p>
    <w:p w14:paraId="3A5842F2" w14:textId="77777777" w:rsidR="00C41989" w:rsidRPr="00B57206" w:rsidRDefault="00C41989" w:rsidP="005656B5">
      <w:pPr>
        <w:spacing w:after="240" w:line="276" w:lineRule="auto"/>
        <w:ind w:right="2268"/>
        <w:jc w:val="both"/>
        <w:rPr>
          <w:rFonts w:cstheme="minorHAnsi"/>
          <w:color w:val="002677"/>
          <w:sz w:val="22"/>
          <w:szCs w:val="22"/>
          <w:lang w:val="en-US"/>
        </w:rPr>
      </w:pPr>
    </w:p>
    <w:sectPr w:rsidR="00C41989" w:rsidRPr="00B57206" w:rsidSect="00DE67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969" w:right="851" w:bottom="567" w:left="851" w:header="851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B9AD" w14:textId="77777777" w:rsidR="003338E0" w:rsidRDefault="003338E0" w:rsidP="003C1020">
      <w:r>
        <w:separator/>
      </w:r>
    </w:p>
  </w:endnote>
  <w:endnote w:type="continuationSeparator" w:id="0">
    <w:p w14:paraId="0254757E" w14:textId="77777777" w:rsidR="003338E0" w:rsidRDefault="003338E0" w:rsidP="003C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 Geometric Ext Extra Light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5D29" w14:textId="77777777" w:rsidR="008E41B2" w:rsidRDefault="008E4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777D" w14:textId="77777777" w:rsidR="008E41B2" w:rsidRDefault="008E41B2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</w:p>
  <w:p w14:paraId="4C11DEEF" w14:textId="3180A86F" w:rsidR="008E41B2" w:rsidRPr="006622B2" w:rsidRDefault="008E41B2" w:rsidP="00B63CF4">
    <w:pPr>
      <w:pStyle w:val="Footer"/>
      <w:rPr>
        <w:rFonts w:ascii="URW Geometric Ext Extra Light" w:hAnsi="URW Geometric Ext Extra Light"/>
        <w:color w:val="243587"/>
        <w:sz w:val="16"/>
        <w:szCs w:val="16"/>
      </w:rPr>
    </w:pPr>
    <w:r>
      <w:rPr>
        <w:rFonts w:ascii="URW Geometric Ext Extra Light" w:hAnsi="URW Geometric Ext Extra Light"/>
        <w:noProof/>
        <w:color w:val="243587"/>
        <w:sz w:val="16"/>
        <w:szCs w:val="16"/>
      </w:rPr>
      <w:drawing>
        <wp:inline distT="0" distB="0" distL="0" distR="0" wp14:anchorId="2FCA7B53" wp14:editId="00B4E669">
          <wp:extent cx="6475730" cy="446498"/>
          <wp:effectExtent l="0" t="0" r="127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44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4577">
      <w:rPr>
        <w:rFonts w:ascii="URW Geometric Ext Extra Light" w:hAnsi="URW Geometric Ext Extra Light"/>
        <w:color w:val="243587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2583" w14:textId="77777777" w:rsidR="008E41B2" w:rsidRDefault="008E4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70A8" w14:textId="77777777" w:rsidR="003338E0" w:rsidRDefault="003338E0" w:rsidP="003C1020">
      <w:r>
        <w:separator/>
      </w:r>
    </w:p>
  </w:footnote>
  <w:footnote w:type="continuationSeparator" w:id="0">
    <w:p w14:paraId="1E665FBF" w14:textId="77777777" w:rsidR="003338E0" w:rsidRDefault="003338E0" w:rsidP="003C1020">
      <w:r>
        <w:continuationSeparator/>
      </w:r>
    </w:p>
  </w:footnote>
  <w:footnote w:id="1">
    <w:p w14:paraId="64A3F30F" w14:textId="4E367E55" w:rsidR="008E41B2" w:rsidRPr="00E12B5C" w:rsidRDefault="008E41B2" w:rsidP="00913D87">
      <w:pPr>
        <w:pStyle w:val="AegeanNormal"/>
        <w:rPr>
          <w:sz w:val="20"/>
          <w:szCs w:val="18"/>
          <w:lang w:val="en-US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 w:rsidRPr="002E61CA">
        <w:rPr>
          <w:rFonts w:ascii="Arial" w:hAnsi="Arial" w:cs="Arial"/>
          <w:szCs w:val="16"/>
          <w:lang w:val="en-US"/>
        </w:rPr>
        <w:t xml:space="preserve"> </w:t>
      </w:r>
      <w:r w:rsidRPr="00E12B5C">
        <w:rPr>
          <w:sz w:val="20"/>
          <w:szCs w:val="18"/>
          <w:lang w:val="en-US"/>
        </w:rPr>
        <w:t>Includes Financial Assets of €11</w:t>
      </w:r>
      <w:r w:rsidR="004C777C">
        <w:rPr>
          <w:sz w:val="20"/>
          <w:szCs w:val="18"/>
          <w:lang w:val="en-US"/>
        </w:rPr>
        <w:t>3</w:t>
      </w:r>
      <w:r w:rsidRPr="00E12B5C">
        <w:rPr>
          <w:sz w:val="20"/>
          <w:szCs w:val="18"/>
          <w:lang w:val="en-US"/>
        </w:rPr>
        <w:t>,8 mil. and restricted cash of €0,5 mil.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D6C3" w14:textId="77777777" w:rsidR="008E41B2" w:rsidRDefault="008E4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9551" w14:textId="77777777" w:rsidR="008E41B2" w:rsidRPr="00DE4577" w:rsidRDefault="008E41B2">
    <w:pPr>
      <w:pStyle w:val="Header"/>
    </w:pPr>
    <w:r>
      <w:rPr>
        <w:noProof/>
      </w:rPr>
      <w:drawing>
        <wp:inline distT="0" distB="0" distL="0" distR="0" wp14:anchorId="6865B497" wp14:editId="20CDF746">
          <wp:extent cx="6362835" cy="358775"/>
          <wp:effectExtent l="0" t="0" r="0" b="317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078" cy="38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59A9" w14:textId="77777777" w:rsidR="008E41B2" w:rsidRDefault="008E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05C"/>
    <w:multiLevelType w:val="hybridMultilevel"/>
    <w:tmpl w:val="4E907008"/>
    <w:lvl w:ilvl="0" w:tplc="DFB60EAC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72"/>
    <w:multiLevelType w:val="hybridMultilevel"/>
    <w:tmpl w:val="7632C06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928559E"/>
    <w:multiLevelType w:val="hybridMultilevel"/>
    <w:tmpl w:val="B2D87E64"/>
    <w:lvl w:ilvl="0" w:tplc="44142F5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2BF"/>
    <w:multiLevelType w:val="hybridMultilevel"/>
    <w:tmpl w:val="85B62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048"/>
    <w:multiLevelType w:val="hybridMultilevel"/>
    <w:tmpl w:val="9BCED752"/>
    <w:lvl w:ilvl="0" w:tplc="1C987A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51798">
    <w:abstractNumId w:val="2"/>
  </w:num>
  <w:num w:numId="2" w16cid:durableId="464545150">
    <w:abstractNumId w:val="0"/>
  </w:num>
  <w:num w:numId="3" w16cid:durableId="205144634">
    <w:abstractNumId w:val="4"/>
  </w:num>
  <w:num w:numId="4" w16cid:durableId="1962758224">
    <w:abstractNumId w:val="3"/>
  </w:num>
  <w:num w:numId="5" w16cid:durableId="119441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0"/>
    <w:rsid w:val="000152F2"/>
    <w:rsid w:val="0001626F"/>
    <w:rsid w:val="00017A3C"/>
    <w:rsid w:val="00023E50"/>
    <w:rsid w:val="000262A7"/>
    <w:rsid w:val="000266D9"/>
    <w:rsid w:val="00027E09"/>
    <w:rsid w:val="000314AD"/>
    <w:rsid w:val="00040362"/>
    <w:rsid w:val="00044BFB"/>
    <w:rsid w:val="00047BE3"/>
    <w:rsid w:val="0005049B"/>
    <w:rsid w:val="000660CC"/>
    <w:rsid w:val="000808ED"/>
    <w:rsid w:val="00080D00"/>
    <w:rsid w:val="0008488C"/>
    <w:rsid w:val="000862CB"/>
    <w:rsid w:val="000921BF"/>
    <w:rsid w:val="00094511"/>
    <w:rsid w:val="000955B1"/>
    <w:rsid w:val="00095FAB"/>
    <w:rsid w:val="000A0C2F"/>
    <w:rsid w:val="000A4CC3"/>
    <w:rsid w:val="000A5E44"/>
    <w:rsid w:val="000B47EB"/>
    <w:rsid w:val="000C228F"/>
    <w:rsid w:val="000C5ED0"/>
    <w:rsid w:val="000D2A2F"/>
    <w:rsid w:val="000D600C"/>
    <w:rsid w:val="000E2D8A"/>
    <w:rsid w:val="000E7385"/>
    <w:rsid w:val="000F2DE9"/>
    <w:rsid w:val="000F3009"/>
    <w:rsid w:val="000F706C"/>
    <w:rsid w:val="001004E5"/>
    <w:rsid w:val="00102487"/>
    <w:rsid w:val="00112C52"/>
    <w:rsid w:val="00117938"/>
    <w:rsid w:val="00130890"/>
    <w:rsid w:val="00131342"/>
    <w:rsid w:val="001421D0"/>
    <w:rsid w:val="0014250D"/>
    <w:rsid w:val="0014291A"/>
    <w:rsid w:val="001478C1"/>
    <w:rsid w:val="001526F4"/>
    <w:rsid w:val="001526FF"/>
    <w:rsid w:val="0016386E"/>
    <w:rsid w:val="00170075"/>
    <w:rsid w:val="0017243A"/>
    <w:rsid w:val="00182E36"/>
    <w:rsid w:val="001870D5"/>
    <w:rsid w:val="0019219E"/>
    <w:rsid w:val="00193DD5"/>
    <w:rsid w:val="00196A45"/>
    <w:rsid w:val="00196EFF"/>
    <w:rsid w:val="001C401F"/>
    <w:rsid w:val="001C688D"/>
    <w:rsid w:val="001C6BCC"/>
    <w:rsid w:val="001D1A97"/>
    <w:rsid w:val="001D43E2"/>
    <w:rsid w:val="001D7F7F"/>
    <w:rsid w:val="001E0297"/>
    <w:rsid w:val="001E4343"/>
    <w:rsid w:val="001E5087"/>
    <w:rsid w:val="001E5CF5"/>
    <w:rsid w:val="001E7131"/>
    <w:rsid w:val="001E7436"/>
    <w:rsid w:val="00203C84"/>
    <w:rsid w:val="00213C62"/>
    <w:rsid w:val="0022449D"/>
    <w:rsid w:val="00227FEC"/>
    <w:rsid w:val="002365E0"/>
    <w:rsid w:val="002479B4"/>
    <w:rsid w:val="00250D2C"/>
    <w:rsid w:val="00256A87"/>
    <w:rsid w:val="0026174E"/>
    <w:rsid w:val="00261C08"/>
    <w:rsid w:val="00263D9C"/>
    <w:rsid w:val="00270E15"/>
    <w:rsid w:val="00271D94"/>
    <w:rsid w:val="00274703"/>
    <w:rsid w:val="00283847"/>
    <w:rsid w:val="002A7CF6"/>
    <w:rsid w:val="002B0A64"/>
    <w:rsid w:val="002B6999"/>
    <w:rsid w:val="002C4875"/>
    <w:rsid w:val="002D0774"/>
    <w:rsid w:val="002D4925"/>
    <w:rsid w:val="002D597D"/>
    <w:rsid w:val="002D5E41"/>
    <w:rsid w:val="002D7BA1"/>
    <w:rsid w:val="002E3BEA"/>
    <w:rsid w:val="002E61CA"/>
    <w:rsid w:val="002E6555"/>
    <w:rsid w:val="002F31BE"/>
    <w:rsid w:val="002F5A51"/>
    <w:rsid w:val="0031273D"/>
    <w:rsid w:val="0032006B"/>
    <w:rsid w:val="003202E3"/>
    <w:rsid w:val="00323349"/>
    <w:rsid w:val="003338E0"/>
    <w:rsid w:val="0034705D"/>
    <w:rsid w:val="00354730"/>
    <w:rsid w:val="00360EF8"/>
    <w:rsid w:val="0037441D"/>
    <w:rsid w:val="00381575"/>
    <w:rsid w:val="00385E98"/>
    <w:rsid w:val="00390AE1"/>
    <w:rsid w:val="003A3429"/>
    <w:rsid w:val="003A3A1D"/>
    <w:rsid w:val="003A71BD"/>
    <w:rsid w:val="003B7F8E"/>
    <w:rsid w:val="003C0A2A"/>
    <w:rsid w:val="003C1020"/>
    <w:rsid w:val="003D1A72"/>
    <w:rsid w:val="003D6B20"/>
    <w:rsid w:val="003D6D11"/>
    <w:rsid w:val="003E0C25"/>
    <w:rsid w:val="003E44A7"/>
    <w:rsid w:val="003E7088"/>
    <w:rsid w:val="003F283A"/>
    <w:rsid w:val="003F2FE1"/>
    <w:rsid w:val="003F5DFE"/>
    <w:rsid w:val="004018A4"/>
    <w:rsid w:val="00421E3E"/>
    <w:rsid w:val="00431092"/>
    <w:rsid w:val="00442A9D"/>
    <w:rsid w:val="00445038"/>
    <w:rsid w:val="00456027"/>
    <w:rsid w:val="00472A8D"/>
    <w:rsid w:val="00473BE4"/>
    <w:rsid w:val="0047733C"/>
    <w:rsid w:val="004B721F"/>
    <w:rsid w:val="004C777C"/>
    <w:rsid w:val="004D0CD6"/>
    <w:rsid w:val="004D2DBF"/>
    <w:rsid w:val="004D4B0D"/>
    <w:rsid w:val="004D4E1D"/>
    <w:rsid w:val="004E5A6D"/>
    <w:rsid w:val="004E6863"/>
    <w:rsid w:val="004F014B"/>
    <w:rsid w:val="004F1C3B"/>
    <w:rsid w:val="004F3ABD"/>
    <w:rsid w:val="005007B3"/>
    <w:rsid w:val="00505134"/>
    <w:rsid w:val="005058B3"/>
    <w:rsid w:val="00505CB0"/>
    <w:rsid w:val="00511CA9"/>
    <w:rsid w:val="005129BA"/>
    <w:rsid w:val="0051711E"/>
    <w:rsid w:val="005237E3"/>
    <w:rsid w:val="0054523F"/>
    <w:rsid w:val="0054724C"/>
    <w:rsid w:val="00556181"/>
    <w:rsid w:val="00557C18"/>
    <w:rsid w:val="005616AA"/>
    <w:rsid w:val="00561D20"/>
    <w:rsid w:val="0056381D"/>
    <w:rsid w:val="005648AD"/>
    <w:rsid w:val="005656B5"/>
    <w:rsid w:val="00571318"/>
    <w:rsid w:val="00576330"/>
    <w:rsid w:val="0059164A"/>
    <w:rsid w:val="005A17F7"/>
    <w:rsid w:val="005B7878"/>
    <w:rsid w:val="005B7D71"/>
    <w:rsid w:val="005C3340"/>
    <w:rsid w:val="005D5570"/>
    <w:rsid w:val="005D7C7E"/>
    <w:rsid w:val="005E0E02"/>
    <w:rsid w:val="005E4F53"/>
    <w:rsid w:val="005E6168"/>
    <w:rsid w:val="005E7A73"/>
    <w:rsid w:val="005F0B1E"/>
    <w:rsid w:val="005F46A7"/>
    <w:rsid w:val="005F6E84"/>
    <w:rsid w:val="00600588"/>
    <w:rsid w:val="00607924"/>
    <w:rsid w:val="00612ADD"/>
    <w:rsid w:val="0062663E"/>
    <w:rsid w:val="006330A8"/>
    <w:rsid w:val="00651016"/>
    <w:rsid w:val="006559CE"/>
    <w:rsid w:val="006622B2"/>
    <w:rsid w:val="00676DB2"/>
    <w:rsid w:val="006771AE"/>
    <w:rsid w:val="006932FD"/>
    <w:rsid w:val="00694E67"/>
    <w:rsid w:val="006A5232"/>
    <w:rsid w:val="006A60E5"/>
    <w:rsid w:val="006B4765"/>
    <w:rsid w:val="006D15CB"/>
    <w:rsid w:val="006D5E25"/>
    <w:rsid w:val="006D7096"/>
    <w:rsid w:val="006E33F8"/>
    <w:rsid w:val="006E43B3"/>
    <w:rsid w:val="006E5004"/>
    <w:rsid w:val="006F0204"/>
    <w:rsid w:val="006F47CA"/>
    <w:rsid w:val="006F5AFA"/>
    <w:rsid w:val="00701AF4"/>
    <w:rsid w:val="00706074"/>
    <w:rsid w:val="00712E10"/>
    <w:rsid w:val="0071551B"/>
    <w:rsid w:val="00716973"/>
    <w:rsid w:val="007178E8"/>
    <w:rsid w:val="00721EB7"/>
    <w:rsid w:val="0072573A"/>
    <w:rsid w:val="00744032"/>
    <w:rsid w:val="0074421C"/>
    <w:rsid w:val="00746838"/>
    <w:rsid w:val="00776513"/>
    <w:rsid w:val="007828A5"/>
    <w:rsid w:val="00785A00"/>
    <w:rsid w:val="0079161C"/>
    <w:rsid w:val="00792EC1"/>
    <w:rsid w:val="007A01B9"/>
    <w:rsid w:val="007A0643"/>
    <w:rsid w:val="007B79D5"/>
    <w:rsid w:val="007D0761"/>
    <w:rsid w:val="007D3AC5"/>
    <w:rsid w:val="007D64E8"/>
    <w:rsid w:val="007F4D99"/>
    <w:rsid w:val="0080431E"/>
    <w:rsid w:val="00804CB4"/>
    <w:rsid w:val="00805F26"/>
    <w:rsid w:val="0080660E"/>
    <w:rsid w:val="00815B9A"/>
    <w:rsid w:val="00820A57"/>
    <w:rsid w:val="0082312F"/>
    <w:rsid w:val="00831E3D"/>
    <w:rsid w:val="00841274"/>
    <w:rsid w:val="00842678"/>
    <w:rsid w:val="0084363F"/>
    <w:rsid w:val="0085192B"/>
    <w:rsid w:val="008568E1"/>
    <w:rsid w:val="00856F45"/>
    <w:rsid w:val="00857357"/>
    <w:rsid w:val="008818CE"/>
    <w:rsid w:val="00884FEB"/>
    <w:rsid w:val="008A2DA4"/>
    <w:rsid w:val="008A72FD"/>
    <w:rsid w:val="008A7F25"/>
    <w:rsid w:val="008B7492"/>
    <w:rsid w:val="008B7543"/>
    <w:rsid w:val="008C2B2E"/>
    <w:rsid w:val="008C561B"/>
    <w:rsid w:val="008D31C2"/>
    <w:rsid w:val="008E0D3E"/>
    <w:rsid w:val="008E41B2"/>
    <w:rsid w:val="008E42F2"/>
    <w:rsid w:val="008E692E"/>
    <w:rsid w:val="008F250A"/>
    <w:rsid w:val="008F5BC0"/>
    <w:rsid w:val="008F7BCD"/>
    <w:rsid w:val="00904788"/>
    <w:rsid w:val="00904873"/>
    <w:rsid w:val="00904D35"/>
    <w:rsid w:val="00913D87"/>
    <w:rsid w:val="00921C6B"/>
    <w:rsid w:val="00922600"/>
    <w:rsid w:val="009361FD"/>
    <w:rsid w:val="0095146F"/>
    <w:rsid w:val="009630BB"/>
    <w:rsid w:val="00963CBC"/>
    <w:rsid w:val="00977791"/>
    <w:rsid w:val="00980963"/>
    <w:rsid w:val="009836BD"/>
    <w:rsid w:val="009860FD"/>
    <w:rsid w:val="00993349"/>
    <w:rsid w:val="00997498"/>
    <w:rsid w:val="00997B45"/>
    <w:rsid w:val="009B0802"/>
    <w:rsid w:val="009B78A8"/>
    <w:rsid w:val="009C50D1"/>
    <w:rsid w:val="009D2315"/>
    <w:rsid w:val="009E219E"/>
    <w:rsid w:val="009F3CD6"/>
    <w:rsid w:val="00A06C24"/>
    <w:rsid w:val="00A10581"/>
    <w:rsid w:val="00A12810"/>
    <w:rsid w:val="00A12B76"/>
    <w:rsid w:val="00A23AE7"/>
    <w:rsid w:val="00A253BF"/>
    <w:rsid w:val="00A37116"/>
    <w:rsid w:val="00A44C7F"/>
    <w:rsid w:val="00A47C51"/>
    <w:rsid w:val="00A54130"/>
    <w:rsid w:val="00A61D15"/>
    <w:rsid w:val="00A64E7E"/>
    <w:rsid w:val="00A737C0"/>
    <w:rsid w:val="00A75FDD"/>
    <w:rsid w:val="00A81DFC"/>
    <w:rsid w:val="00A866A9"/>
    <w:rsid w:val="00A927F8"/>
    <w:rsid w:val="00A9448D"/>
    <w:rsid w:val="00A97234"/>
    <w:rsid w:val="00A97823"/>
    <w:rsid w:val="00A97F99"/>
    <w:rsid w:val="00AA05E9"/>
    <w:rsid w:val="00AA18BD"/>
    <w:rsid w:val="00AB1FFB"/>
    <w:rsid w:val="00AB53ED"/>
    <w:rsid w:val="00AC23C2"/>
    <w:rsid w:val="00AC3212"/>
    <w:rsid w:val="00AC4536"/>
    <w:rsid w:val="00AC6349"/>
    <w:rsid w:val="00AC7D65"/>
    <w:rsid w:val="00AD2698"/>
    <w:rsid w:val="00AE085B"/>
    <w:rsid w:val="00AE352D"/>
    <w:rsid w:val="00AE4CE9"/>
    <w:rsid w:val="00AF42DA"/>
    <w:rsid w:val="00B031FD"/>
    <w:rsid w:val="00B042C7"/>
    <w:rsid w:val="00B047AB"/>
    <w:rsid w:val="00B061C9"/>
    <w:rsid w:val="00B3118C"/>
    <w:rsid w:val="00B351CD"/>
    <w:rsid w:val="00B42BA0"/>
    <w:rsid w:val="00B4519B"/>
    <w:rsid w:val="00B5107D"/>
    <w:rsid w:val="00B55ECC"/>
    <w:rsid w:val="00B57206"/>
    <w:rsid w:val="00B63CF4"/>
    <w:rsid w:val="00B7497A"/>
    <w:rsid w:val="00B83F0C"/>
    <w:rsid w:val="00B952C8"/>
    <w:rsid w:val="00B955B9"/>
    <w:rsid w:val="00B97047"/>
    <w:rsid w:val="00BA2966"/>
    <w:rsid w:val="00BA2BFA"/>
    <w:rsid w:val="00BB6497"/>
    <w:rsid w:val="00BC2F01"/>
    <w:rsid w:val="00BD102D"/>
    <w:rsid w:val="00BD776A"/>
    <w:rsid w:val="00BE16ED"/>
    <w:rsid w:val="00BE4949"/>
    <w:rsid w:val="00BF11DF"/>
    <w:rsid w:val="00BF2A95"/>
    <w:rsid w:val="00BF60D6"/>
    <w:rsid w:val="00BF7CEC"/>
    <w:rsid w:val="00C061D2"/>
    <w:rsid w:val="00C06FC8"/>
    <w:rsid w:val="00C07591"/>
    <w:rsid w:val="00C1355D"/>
    <w:rsid w:val="00C14843"/>
    <w:rsid w:val="00C14BF4"/>
    <w:rsid w:val="00C23120"/>
    <w:rsid w:val="00C2708E"/>
    <w:rsid w:val="00C34248"/>
    <w:rsid w:val="00C41989"/>
    <w:rsid w:val="00C45952"/>
    <w:rsid w:val="00C46785"/>
    <w:rsid w:val="00C50DC4"/>
    <w:rsid w:val="00C51A1B"/>
    <w:rsid w:val="00C63544"/>
    <w:rsid w:val="00C647C1"/>
    <w:rsid w:val="00C6771A"/>
    <w:rsid w:val="00C718CE"/>
    <w:rsid w:val="00C80096"/>
    <w:rsid w:val="00C814EB"/>
    <w:rsid w:val="00C83147"/>
    <w:rsid w:val="00C83EA6"/>
    <w:rsid w:val="00C9286A"/>
    <w:rsid w:val="00C93F9B"/>
    <w:rsid w:val="00CB3695"/>
    <w:rsid w:val="00CC107E"/>
    <w:rsid w:val="00CD46C0"/>
    <w:rsid w:val="00CE0C75"/>
    <w:rsid w:val="00CE1623"/>
    <w:rsid w:val="00CE7B31"/>
    <w:rsid w:val="00CF786B"/>
    <w:rsid w:val="00D01A2E"/>
    <w:rsid w:val="00D02606"/>
    <w:rsid w:val="00D05049"/>
    <w:rsid w:val="00D170C6"/>
    <w:rsid w:val="00D275AC"/>
    <w:rsid w:val="00D30897"/>
    <w:rsid w:val="00D3558B"/>
    <w:rsid w:val="00D5222A"/>
    <w:rsid w:val="00D5352B"/>
    <w:rsid w:val="00D62640"/>
    <w:rsid w:val="00D829E8"/>
    <w:rsid w:val="00D8724D"/>
    <w:rsid w:val="00DA2C7B"/>
    <w:rsid w:val="00DA45D9"/>
    <w:rsid w:val="00DB6D14"/>
    <w:rsid w:val="00DB6EE7"/>
    <w:rsid w:val="00DD3FB2"/>
    <w:rsid w:val="00DE4577"/>
    <w:rsid w:val="00DE6736"/>
    <w:rsid w:val="00DF6539"/>
    <w:rsid w:val="00E0269A"/>
    <w:rsid w:val="00E038F2"/>
    <w:rsid w:val="00E1173F"/>
    <w:rsid w:val="00E11E4F"/>
    <w:rsid w:val="00E12B5C"/>
    <w:rsid w:val="00E24B75"/>
    <w:rsid w:val="00E25209"/>
    <w:rsid w:val="00E25A09"/>
    <w:rsid w:val="00E334FA"/>
    <w:rsid w:val="00E353E6"/>
    <w:rsid w:val="00E444E6"/>
    <w:rsid w:val="00E5014A"/>
    <w:rsid w:val="00E56FEE"/>
    <w:rsid w:val="00E60748"/>
    <w:rsid w:val="00E715D1"/>
    <w:rsid w:val="00E72B44"/>
    <w:rsid w:val="00E83636"/>
    <w:rsid w:val="00E85532"/>
    <w:rsid w:val="00E85B05"/>
    <w:rsid w:val="00E95C48"/>
    <w:rsid w:val="00EA6498"/>
    <w:rsid w:val="00EA7785"/>
    <w:rsid w:val="00EC6E83"/>
    <w:rsid w:val="00EE024D"/>
    <w:rsid w:val="00EE318C"/>
    <w:rsid w:val="00EE465F"/>
    <w:rsid w:val="00EE5E61"/>
    <w:rsid w:val="00EF0E06"/>
    <w:rsid w:val="00F02503"/>
    <w:rsid w:val="00F07447"/>
    <w:rsid w:val="00F149F4"/>
    <w:rsid w:val="00F201D8"/>
    <w:rsid w:val="00F20B90"/>
    <w:rsid w:val="00F227D2"/>
    <w:rsid w:val="00F257B8"/>
    <w:rsid w:val="00F269C1"/>
    <w:rsid w:val="00F35762"/>
    <w:rsid w:val="00F450B4"/>
    <w:rsid w:val="00F50541"/>
    <w:rsid w:val="00F52FCA"/>
    <w:rsid w:val="00F60282"/>
    <w:rsid w:val="00F61532"/>
    <w:rsid w:val="00F754ED"/>
    <w:rsid w:val="00F8238B"/>
    <w:rsid w:val="00F93642"/>
    <w:rsid w:val="00F94BB1"/>
    <w:rsid w:val="00FC40B6"/>
    <w:rsid w:val="00FC434D"/>
    <w:rsid w:val="00FE0FA0"/>
    <w:rsid w:val="00FE10D3"/>
    <w:rsid w:val="00FF6C00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94E5"/>
  <w14:defaultImageDpi w14:val="32767"/>
  <w15:chartTrackingRefBased/>
  <w15:docId w15:val="{2B6855C1-3607-254B-9995-6C93D27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BFA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BFA"/>
    <w:rPr>
      <w:rFonts w:ascii="Times New Roman" w:eastAsia="Times New Roman" w:hAnsi="Times New Roman" w:cs="Times New Roman"/>
      <w:sz w:val="2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20"/>
  </w:style>
  <w:style w:type="paragraph" w:styleId="Footer">
    <w:name w:val="footer"/>
    <w:basedOn w:val="Normal"/>
    <w:link w:val="FooterChar"/>
    <w:uiPriority w:val="99"/>
    <w:unhideWhenUsed/>
    <w:rsid w:val="003C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20"/>
  </w:style>
  <w:style w:type="table" w:styleId="TableGrid">
    <w:name w:val="Table Grid"/>
    <w:basedOn w:val="TableNormal"/>
    <w:uiPriority w:val="39"/>
    <w:rsid w:val="00DB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36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Hyperlink">
    <w:name w:val="Hyperlink"/>
    <w:rsid w:val="00F936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737C0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37C0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C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7C0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7C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7C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C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C0"/>
    <w:rPr>
      <w:b/>
      <w:bCs/>
    </w:rPr>
  </w:style>
  <w:style w:type="paragraph" w:customStyle="1" w:styleId="AegeanNormal">
    <w:name w:val="Aegean Normal"/>
    <w:basedOn w:val="Normal"/>
    <w:link w:val="AegeanNormalChar"/>
    <w:autoRedefine/>
    <w:qFormat/>
    <w:rsid w:val="00913D87"/>
    <w:pPr>
      <w:ind w:right="6"/>
      <w:jc w:val="both"/>
    </w:pPr>
    <w:rPr>
      <w:rFonts w:ascii="Calibri" w:hAnsi="Calibri"/>
      <w:color w:val="243587"/>
      <w:sz w:val="22"/>
      <w:szCs w:val="19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E56FEE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2B0A64"/>
    <w:rPr>
      <w:color w:val="605E5C"/>
      <w:shd w:val="clear" w:color="auto" w:fill="E1DFDD"/>
    </w:rPr>
  </w:style>
  <w:style w:type="character" w:customStyle="1" w:styleId="AegeanNormalChar">
    <w:name w:val="Aegean Normal Char"/>
    <w:basedOn w:val="DefaultParagraphFont"/>
    <w:link w:val="AegeanNormal"/>
    <w:locked/>
    <w:rsid w:val="00913D87"/>
    <w:rPr>
      <w:rFonts w:ascii="Calibri" w:hAnsi="Calibri"/>
      <w:color w:val="243587"/>
      <w:sz w:val="22"/>
      <w:szCs w:val="19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3F5DFE"/>
    <w:rPr>
      <w:sz w:val="16"/>
      <w:szCs w:val="16"/>
    </w:rPr>
  </w:style>
  <w:style w:type="paragraph" w:styleId="Revision">
    <w:name w:val="Revision"/>
    <w:hidden/>
    <w:uiPriority w:val="99"/>
    <w:semiHidden/>
    <w:rsid w:val="0090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023711838AA48BE0D44C1AA7ED9BB" ma:contentTypeVersion="30" ma:contentTypeDescription="Create a new document." ma:contentTypeScope="" ma:versionID="c7927cb44d34fd910dd61b4ed9ca5b3a">
  <xsd:schema xmlns:xsd="http://www.w3.org/2001/XMLSchema" xmlns:xs="http://www.w3.org/2001/XMLSchema" xmlns:p="http://schemas.microsoft.com/office/2006/metadata/properties" xmlns:ns2="bef9ce95-d731-4245-ac9f-3fdcfde03d2c" xmlns:ns3="bae7db81-8a76-49dc-873a-2cf985890e39" targetNamespace="http://schemas.microsoft.com/office/2006/metadata/properties" ma:root="true" ma:fieldsID="2fd08e126cf4fb91c87ca43d66a9ed9c" ns2:_="" ns3:_="">
    <xsd:import namespace="bef9ce95-d731-4245-ac9f-3fdcfde03d2c"/>
    <xsd:import namespace="bae7db81-8a76-49dc-873a-2cf985890e39"/>
    <xsd:element name="properties">
      <xsd:complexType>
        <xsd:sequence>
          <xsd:element name="documentManagement">
            <xsd:complexType>
              <xsd:all>
                <xsd:element ref="ns2:DocumentDate"/>
                <xsd:element ref="ns2:PublicDocument" minOccurs="0"/>
                <xsd:element ref="ns2:SDepartment"/>
                <xsd:element ref="ns2:Tag1" minOccurs="0"/>
                <xsd:element ref="ns2:Tag1_x003a_Title" minOccurs="0"/>
                <xsd:element ref="ns2:Tag1_x003a_ID" minOccurs="0"/>
                <xsd:element ref="ns2:Tag2" minOccurs="0"/>
                <xsd:element ref="ns2:Tag2_x003a_Title" minOccurs="0"/>
                <xsd:element ref="ns2:Tag2_x003a_ID" minOccurs="0"/>
                <xsd:element ref="ns2:Tag3" minOccurs="0"/>
                <xsd:element ref="ns2:Tag3_x003a_ID" minOccurs="0"/>
                <xsd:element ref="ns2:Tag3_x003a_Title" minOccurs="0"/>
                <xsd:element ref="ns3:SDepartment_x003a_Title" minOccurs="0"/>
                <xsd:element ref="ns3:SDepartment_x003a_SAPId" minOccurs="0"/>
                <xsd:element ref="ns3:SDepartment_x003a_ID" minOccurs="0"/>
                <xsd:element ref="ns2:SListSearchId" minOccurs="0"/>
                <xsd:element ref="ns2:SMDepartments" minOccurs="0"/>
                <xsd:element ref="ns3:SMDepartment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ce95-d731-4245-ac9f-3fdcfde03d2c" elementFormDefault="qualified">
    <xsd:import namespace="http://schemas.microsoft.com/office/2006/documentManagement/types"/>
    <xsd:import namespace="http://schemas.microsoft.com/office/infopath/2007/PartnerControls"/>
    <xsd:element name="DocumentDate" ma:index="8" ma:displayName="Document Date" ma:default="[today]" ma:format="DateOnly" ma:internalName="DocumentDate">
      <xsd:simpleType>
        <xsd:restriction base="dms:DateTime"/>
      </xsd:simpleType>
    </xsd:element>
    <xsd:element name="PublicDocument" ma:index="9" nillable="true" ma:displayName="Public Document" ma:default="1" ma:internalName="PublicDocument">
      <xsd:simpleType>
        <xsd:restriction base="dms:Boolean"/>
      </xsd:simpleType>
    </xsd:element>
    <xsd:element name="SDepartment" ma:index="10" ma:displayName="Department" ma:list="{6546078e-5d16-4dc2-8a5a-e55a99ec455c}" ma:internalName="SDepartment" ma:readOnly="false" ma:showField="Title" ma:web="bef9ce95-d731-4245-ac9f-3fdcfde03d2c">
      <xsd:simpleType>
        <xsd:restriction base="dms:Lookup"/>
      </xsd:simpleType>
    </xsd:element>
    <xsd:element name="Tag1" ma:index="11" nillable="true" ma:displayName="Tag1" ma:list="{44565704-0632-486c-bc36-93b79014d7ea}" ma:internalName="_x0054_ag1" ma:showField="Title" ma:web="bef9ce95-d731-4245-ac9f-3fdcfde03d2c">
      <xsd:simpleType>
        <xsd:restriction base="dms:Lookup"/>
      </xsd:simpleType>
    </xsd:element>
    <xsd:element name="Tag1_x003a_Title" ma:index="12" nillable="true" ma:displayName="Tag1:Title" ma:list="{44565704-0632-486c-bc36-93b79014d7ea}" ma:internalName="Tag1_x003A_Title" ma:readOnly="true" ma:showField="Title" ma:web="bef9ce95-d731-4245-ac9f-3fdcfde03d2c">
      <xsd:simpleType>
        <xsd:restriction base="dms:Lookup"/>
      </xsd:simpleType>
    </xsd:element>
    <xsd:element name="Tag1_x003a_ID" ma:index="13" nillable="true" ma:displayName="Tag1:ID" ma:list="{44565704-0632-486c-bc36-93b79014d7ea}" ma:internalName="Tag1_x003A_ID" ma:readOnly="true" ma:showField="ID" ma:web="bef9ce95-d731-4245-ac9f-3fdcfde03d2c">
      <xsd:simpleType>
        <xsd:restriction base="dms:Lookup"/>
      </xsd:simpleType>
    </xsd:element>
    <xsd:element name="Tag2" ma:index="14" nillable="true" ma:displayName="Tag2" ma:list="{44565704-0632-486c-bc36-93b79014d7ea}" ma:internalName="_x0054_ag2" ma:showField="Title" ma:web="bef9ce95-d731-4245-ac9f-3fdcfde03d2c">
      <xsd:simpleType>
        <xsd:restriction base="dms:Lookup"/>
      </xsd:simpleType>
    </xsd:element>
    <xsd:element name="Tag2_x003a_Title" ma:index="15" nillable="true" ma:displayName="Tag2:Title" ma:list="{44565704-0632-486c-bc36-93b79014d7ea}" ma:internalName="Tag2_x003A_Title" ma:readOnly="true" ma:showField="Title" ma:web="bef9ce95-d731-4245-ac9f-3fdcfde03d2c">
      <xsd:simpleType>
        <xsd:restriction base="dms:Lookup"/>
      </xsd:simpleType>
    </xsd:element>
    <xsd:element name="Tag2_x003a_ID" ma:index="16" nillable="true" ma:displayName="Tag2:ID" ma:list="{44565704-0632-486c-bc36-93b79014d7ea}" ma:internalName="Tag2_x003A_ID" ma:readOnly="true" ma:showField="ID" ma:web="bef9ce95-d731-4245-ac9f-3fdcfde03d2c">
      <xsd:simpleType>
        <xsd:restriction base="dms:Lookup"/>
      </xsd:simpleType>
    </xsd:element>
    <xsd:element name="Tag3" ma:index="17" nillable="true" ma:displayName="Tag3" ma:list="{44565704-0632-486c-bc36-93b79014d7ea}" ma:internalName="_x0054_ag3" ma:showField="Title" ma:web="bef9ce95-d731-4245-ac9f-3fdcfde03d2c">
      <xsd:simpleType>
        <xsd:restriction base="dms:Lookup"/>
      </xsd:simpleType>
    </xsd:element>
    <xsd:element name="Tag3_x003a_ID" ma:index="18" nillable="true" ma:displayName="Tag3:ID" ma:list="{44565704-0632-486c-bc36-93b79014d7ea}" ma:internalName="Tag3_x003A_ID" ma:readOnly="true" ma:showField="ID" ma:web="bef9ce95-d731-4245-ac9f-3fdcfde03d2c">
      <xsd:simpleType>
        <xsd:restriction base="dms:Lookup"/>
      </xsd:simpleType>
    </xsd:element>
    <xsd:element name="Tag3_x003a_Title" ma:index="19" nillable="true" ma:displayName="Tag3:Title" ma:list="{44565704-0632-486c-bc36-93b79014d7ea}" ma:internalName="Tag3_x003A_Title" ma:readOnly="true" ma:showField="Title" ma:web="bef9ce95-d731-4245-ac9f-3fdcfde03d2c">
      <xsd:simpleType>
        <xsd:restriction base="dms:Lookup"/>
      </xsd:simpleType>
    </xsd:element>
    <xsd:element name="SListSearchId" ma:index="23" nillable="true" ma:displayName="SListSearchId" ma:decimals="0" ma:default="3" ma:internalName="SListSearchId" ma:percentage="FALSE">
      <xsd:simpleType>
        <xsd:restriction base="dms:Number">
          <xsd:minInclusive value="0"/>
        </xsd:restriction>
      </xsd:simpleType>
    </xsd:element>
    <xsd:element name="SMDepartments" ma:index="24" nillable="true" ma:displayName="SMDepartments" ma:list="{6546078e-5d16-4dc2-8a5a-e55a99ec455c}" ma:internalName="SMDepartments" ma:readOnly="false" ma:showField="Title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db81-8a76-49dc-873a-2cf985890e39" elementFormDefault="qualified">
    <xsd:import namespace="http://schemas.microsoft.com/office/2006/documentManagement/types"/>
    <xsd:import namespace="http://schemas.microsoft.com/office/infopath/2007/PartnerControls"/>
    <xsd:element name="SDepartment_x003a_Title" ma:index="20" nillable="true" ma:displayName="SDepartment:Title" ma:list="{6546078e-5d16-4dc2-8a5a-e55a99ec455c}" ma:internalName="SDepartment_x003a_Title" ma:readOnly="true" ma:showField="Title" ma:web="bef9ce95-d731-4245-ac9f-3fdcfde03d2c">
      <xsd:simpleType>
        <xsd:restriction base="dms:Lookup"/>
      </xsd:simpleType>
    </xsd:element>
    <xsd:element name="SDepartment_x003a_SAPId" ma:index="21" nillable="true" ma:displayName="SDepartment:SAPId" ma:list="{6546078e-5d16-4dc2-8a5a-e55a99ec455c}" ma:internalName="SDepartment_x003a_SAPId" ma:readOnly="true" ma:showField="SAPId" ma:web="bef9ce95-d731-4245-ac9f-3fdcfde03d2c">
      <xsd:simpleType>
        <xsd:restriction base="dms:Lookup"/>
      </xsd:simpleType>
    </xsd:element>
    <xsd:element name="SDepartment_x003a_ID" ma:index="22" nillable="true" ma:displayName="SDepartment:ID" ma:list="{6546078e-5d16-4dc2-8a5a-e55a99ec455c}" ma:internalName="SDepartment_x003a_ID" ma:readOnly="true" ma:showField="ID" ma:web="bef9ce95-d731-4245-ac9f-3fdcfde03d2c">
      <xsd:simpleType>
        <xsd:restriction base="dms:Lookup"/>
      </xsd:simpleType>
    </xsd:element>
    <xsd:element name="SMDepartments_x003a_ID" ma:index="25" nillable="true" ma:displayName="SMDepartments:ID" ma:list="{6546078e-5d16-4dc2-8a5a-e55a99ec455c}" ma:internalName="SMDepartments_x003a_ID" ma:readOnly="true" ma:showField="ID" ma:web="bef9ce95-d731-4245-ac9f-3fdcfde03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epartment xmlns="bef9ce95-d731-4245-ac9f-3fdcfde03d2c">238</SDepartment>
    <SListSearchId xmlns="bef9ce95-d731-4245-ac9f-3fdcfde03d2c">3</SListSearchId>
    <Tag1 xmlns="bef9ce95-d731-4245-ac9f-3fdcfde03d2c">17</Tag1>
    <DocumentDate xmlns="bef9ce95-d731-4245-ac9f-3fdcfde03d2c">2021-10-12T21:00:00+00:00</DocumentDate>
    <Tag2 xmlns="bef9ce95-d731-4245-ac9f-3fdcfde03d2c" xsi:nil="true"/>
    <Tag3 xmlns="bef9ce95-d731-4245-ac9f-3fdcfde03d2c" xsi:nil="true"/>
    <SMDepartments xmlns="bef9ce95-d731-4245-ac9f-3fdcfde03d2c">
      <Value>238</Value>
    </SMDepartments>
    <PublicDocument xmlns="bef9ce95-d731-4245-ac9f-3fdcfde03d2c">true</Public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1DE132C-FC10-4F64-8730-4875610AA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C57A-039F-4AEC-BF24-1AF5C6BB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ce95-d731-4245-ac9f-3fdcfde03d2c"/>
    <ds:schemaRef ds:uri="bae7db81-8a76-49dc-873a-2cf985890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B1ADB-F8FA-469C-A5EE-1B555EC69B85}">
  <ds:schemaRefs>
    <ds:schemaRef ds:uri="http://schemas.microsoft.com/office/2006/metadata/properties"/>
    <ds:schemaRef ds:uri="http://schemas.microsoft.com/office/infopath/2007/PartnerControls"/>
    <ds:schemaRef ds:uri="bef9ce95-d731-4245-ac9f-3fdcfde03d2c"/>
  </ds:schemaRefs>
</ds:datastoreItem>
</file>

<file path=customXml/itemProps4.xml><?xml version="1.0" encoding="utf-8"?>
<ds:datastoreItem xmlns:ds="http://schemas.openxmlformats.org/officeDocument/2006/customXml" ds:itemID="{7860E865-13C1-4C15-900A-816311F6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Katelani Anthi</dc:creator>
  <cp:keywords/>
  <dc:description/>
  <cp:lastModifiedBy>stockwatch2</cp:lastModifiedBy>
  <cp:revision>2</cp:revision>
  <cp:lastPrinted>2024-05-24T05:15:00Z</cp:lastPrinted>
  <dcterms:created xsi:type="dcterms:W3CDTF">2024-05-24T07:19:00Z</dcterms:created>
  <dcterms:modified xsi:type="dcterms:W3CDTF">2024-05-24T07:19:00Z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0x0101003DC023711838AA48BE0D44C1AA7ED9BB</vt:lpwstr>
  </property>
  <property fmtid="{D5CDD505-2E9C-101B-9397-08002B2CF9AE}" pid="3" name="MSIP_Label_2af53a41-46d0-48d2-ac45-095a27a4bce1_Enabled">
    <vt:lpwstr>true</vt:lpwstr>
  </property>
  <property fmtid="{D5CDD505-2E9C-101B-9397-08002B2CF9AE}" pid="4" name="MSIP_Label_2af53a41-46d0-48d2-ac45-095a27a4bce1_SetDate">
    <vt:lpwstr>2024-02-26T14:33:03Z</vt:lpwstr>
  </property>
  <property fmtid="{D5CDD505-2E9C-101B-9397-08002B2CF9AE}" pid="5" name="MSIP_Label_2af53a41-46d0-48d2-ac45-095a27a4bce1_Method">
    <vt:lpwstr>Standard</vt:lpwstr>
  </property>
  <property fmtid="{D5CDD505-2E9C-101B-9397-08002B2CF9AE}" pid="6" name="MSIP_Label_2af53a41-46d0-48d2-ac45-095a27a4bce1_Name">
    <vt:lpwstr>2af53a41-46d0-48d2-ac45-095a27a4bce1</vt:lpwstr>
  </property>
  <property fmtid="{D5CDD505-2E9C-101B-9397-08002B2CF9AE}" pid="7" name="MSIP_Label_2af53a41-46d0-48d2-ac45-095a27a4bce1_SiteId">
    <vt:lpwstr>00ab5264-f7ed-4d89-9011-19bf33ed8169</vt:lpwstr>
  </property>
  <property fmtid="{D5CDD505-2E9C-101B-9397-08002B2CF9AE}" pid="8" name="MSIP_Label_2af53a41-46d0-48d2-ac45-095a27a4bce1_ActionId">
    <vt:lpwstr>7519e65d-11fb-4156-848a-aa9b895958fd</vt:lpwstr>
  </property>
  <property fmtid="{D5CDD505-2E9C-101B-9397-08002B2CF9AE}" pid="9" name="MSIP_Label_2af53a41-46d0-48d2-ac45-095a27a4bce1_ContentBits">
    <vt:lpwstr>0</vt:lpwstr>
  </property>
</Properties>
</file>